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Balanced Fund</w:t>
      </w:r>
    </w:p>
    <w:p>
      <w:r>
        <w:rPr>
          <w:rFonts w:ascii="Aptos" w:hAnsi="Aptos"/>
          <w:color w:val="2E6B5E"/>
          <w:sz w:val="22"/>
        </w:rPr>
        <w:t>Super Amazing Fund Management  |  Month ended 31 August 2026</w:t>
      </w:r>
    </w:p>
    <w:p>
      <w:r>
        <w:rPr>
          <w:rFonts w:ascii="Aptos" w:hAnsi="Aptos"/>
          <w:i/>
          <w:sz w:val="20"/>
        </w:rPr>
        <w:t>Benchmark: 60% MSCI World (NZD, hedged) / 40% Bloomberg NZ Bond Composite</w:t>
      </w:r>
    </w:p>
    <w:p>
      <w:r>
        <w:rPr>
          <w:rFonts w:ascii="Aptos" w:hAnsi="Aptos"/>
          <w:b/>
          <w:color w:val="1A2E3B"/>
          <w:sz w:val="19"/>
        </w:rPr>
        <w:t>About this report</w:t>
      </w:r>
    </w:p>
    <w:p>
      <w:pPr>
        <w:pStyle w:val="ListBullet"/>
        <w:ind w:left="454"/>
      </w:pPr>
      <w:r>
        <w:rPr>
          <w:rFonts w:ascii="Aptos" w:hAnsi="Aptos"/>
          <w:color w:val="6B541B"/>
          <w:sz w:val="19"/>
        </w:rPr>
        <w:t>The figures in this report are fixed placeholder data and do not vary by period. Changing the reporting dates changes what the report says it covers, not the numbers in it.</w:t>
      </w:r>
    </w:p>
    <w:p>
      <w:pPr>
        <w:pStyle w:val="ListBullet"/>
        <w:ind w:left="454"/>
      </w:pPr>
      <w:r>
        <w:rPr>
          <w:rFonts w:ascii="Aptos" w:hAnsi="Aptos"/>
          <w:color w:val="6B541B"/>
          <w:sz w:val="19"/>
        </w:rPr>
        <w:t>Market reactions were drafted by an AI model, which searched NZX, ASX, Disclose Register, NZ Companies Office, Financial Markets Authority, Reserve Bank of New Zealand, Stats NZ, NZ Treasury, Bloomberg, BusinessDesk, National Business Review, interest.co.nz, US SEC EDGAR, US Federal Reserve, European Central Bank for Fisher &amp; Paykel Healthcare, Auckland International Airport. Every resulting statement is labelled and footnoted to the source it came from.</w:t>
      </w:r>
    </w:p>
    <w:p>
      <w:pPr>
        <w:pStyle w:val="ListBullet"/>
        <w:ind w:left="454"/>
      </w:pPr>
      <w:r>
        <w:rPr>
          <w:rFonts w:ascii="Aptos" w:hAnsi="Aptos"/>
          <w:color w:val="6B541B"/>
          <w:sz w:val="19"/>
        </w:rPr>
        <w:t>Research failed for Fisher &amp; Paykel Healthcare: Error code: 400 - {'type': 'error', 'error': {'type': 'invalid_request_error', 'message': "'claude-sonnet-5' does not support the `fallbacks` parameter."}, 'request_id': 'req_011Ceo5Rg1jAg59cXUnLbkgd'}</w:t>
      </w:r>
    </w:p>
    <w:p>
      <w:pPr>
        <w:pStyle w:val="ListBullet"/>
        <w:ind w:left="454"/>
      </w:pPr>
      <w:r>
        <w:rPr>
          <w:rFonts w:ascii="Aptos" w:hAnsi="Aptos"/>
          <w:color w:val="6B541B"/>
          <w:sz w:val="19"/>
        </w:rPr>
        <w:t>Research failed for Auckland International Airport: Error code: 400 - {'type': 'error', 'error': {'type': 'invalid_request_error', 'message': "'claude-sonnet-5' does not support the `fallbacks` parameter."}, 'request_id': 'req_011Ceo5RibkusxWCtrjKuBZf'}</w:t>
      </w:r>
    </w:p>
    <w:p>
      <w:pPr>
        <w:pStyle w:val="ListBullet"/>
        <w:ind w:left="454"/>
      </w:pPr>
      <w:r>
        <w:rPr>
          <w:rFonts w:ascii="Aptos" w:hAnsi="Aptos"/>
          <w:color w:val="6B541B"/>
          <w:sz w:val="19"/>
        </w:rPr>
        <w:t>Commentary drafting failed for Market commentary: Error code: 400 - {'type': 'error', 'error': {'type': 'invalid_request_error', 'message': "'claude-sonnet-5' does not support the `fallbacks` parameter."}, 'request_id': 'req_011Ceo5RkMRZ7UJbgyFN8oi2'}</w:t>
      </w:r>
    </w:p>
    <w:p>
      <w:pPr>
        <w:pStyle w:val="ListBullet"/>
        <w:ind w:left="454"/>
      </w:pPr>
      <w:r>
        <w:rPr>
          <w:rFonts w:ascii="Aptos" w:hAnsi="Aptos"/>
          <w:color w:val="6B541B"/>
          <w:sz w:val="19"/>
        </w:rPr>
        <w:t>Commentary drafting failed for Attribution commentary: Error code: 400 - {'type': 'error', 'error': {'type': 'invalid_request_error', 'message': "'claude-sonnet-5' does not support the `fallbacks` parameter."}, 'request_id': 'req_011Ceo5RnBZcBHCJ562vcPKE'}</w:t>
      </w:r>
    </w:p>
    <w:p>
      <w:pPr>
        <w:pStyle w:val="ListBullet"/>
        <w:ind w:left="454"/>
      </w:pPr>
      <w:r>
        <w:rPr>
          <w:rFonts w:ascii="Aptos" w:hAnsi="Aptos"/>
          <w:color w:val="6B541B"/>
          <w:sz w:val="19"/>
        </w:rPr>
        <w:t>Commentary drafting failed for Outlook: Error code: 400 - {'type': 'error', 'error': {'type': 'invalid_request_error', 'message': "'claude-sonnet-5' does not support the `fallbacks` parameter."}, 'request_id': 'req_011Ceo5RotVx9rGx4qLig357'}</w:t>
      </w:r>
    </w:p>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+1.30</w:t>
            </w:r>
          </w:p>
        </w:tc>
        <w:tc>
          <w:tcPr>
            <w:tcW w:type="dxa" w:w="1984"/>
          </w:tcPr>
          <w:p>
            <w:r>
              <w:rPr>
                <w:rFonts w:ascii="Aptos" w:hAnsi="Aptos"/>
                <w:sz w:val="20"/>
              </w:rPr>
              <w:t>+1.10</w:t>
            </w:r>
          </w:p>
        </w:tc>
        <w:tc>
          <w:tcPr>
            <w:tcW w:type="dxa" w:w="1701"/>
          </w:tcPr>
          <w:p>
            <w:r>
              <w:rPr>
                <w:rFonts w:ascii="Aptos" w:hAnsi="Aptos"/>
                <w:sz w:val="20"/>
              </w:rPr>
              <w:t>+0.20</w:t>
            </w:r>
          </w:p>
        </w:tc>
      </w:tr>
      <w:tr>
        <w:tc>
          <w:tcPr>
            <w:tcW w:type="dxa" w:w="2551"/>
          </w:tcPr>
          <w:p>
            <w:r>
              <w:rPr>
                <w:rFonts w:ascii="Aptos" w:hAnsi="Aptos"/>
                <w:sz w:val="20"/>
              </w:rPr>
              <w:t>3 Months</w:t>
            </w:r>
          </w:p>
        </w:tc>
        <w:tc>
          <w:tcPr>
            <w:tcW w:type="dxa" w:w="1701"/>
          </w:tcPr>
          <w:p>
            <w:r>
              <w:rPr>
                <w:rFonts w:ascii="Aptos" w:hAnsi="Aptos"/>
                <w:sz w:val="20"/>
              </w:rPr>
              <w:t>+3.20</w:t>
            </w:r>
          </w:p>
        </w:tc>
        <w:tc>
          <w:tcPr>
            <w:tcW w:type="dxa" w:w="1984"/>
          </w:tcPr>
          <w:p>
            <w:r>
              <w:rPr>
                <w:rFonts w:ascii="Aptos" w:hAnsi="Aptos"/>
                <w:sz w:val="20"/>
              </w:rPr>
              <w:t>+3.40</w:t>
            </w:r>
          </w:p>
        </w:tc>
        <w:tc>
          <w:tcPr>
            <w:tcW w:type="dxa" w:w="1701"/>
          </w:tcPr>
          <w:p>
            <w:r>
              <w:rPr>
                <w:rFonts w:ascii="Aptos" w:hAnsi="Aptos"/>
                <w:sz w:val="20"/>
              </w:rPr>
              <w:t>-0.20</w:t>
            </w:r>
          </w:p>
        </w:tc>
      </w:tr>
      <w:tr>
        <w:tc>
          <w:tcPr>
            <w:tcW w:type="dxa" w:w="2551"/>
          </w:tcPr>
          <w:p>
            <w:r>
              <w:rPr>
                <w:rFonts w:ascii="Aptos" w:hAnsi="Aptos"/>
                <w:sz w:val="20"/>
              </w:rPr>
              <w:t>1 Year</w:t>
            </w:r>
          </w:p>
        </w:tc>
        <w:tc>
          <w:tcPr>
            <w:tcW w:type="dxa" w:w="1701"/>
          </w:tcPr>
          <w:p>
            <w:r>
              <w:rPr>
                <w:rFonts w:ascii="Aptos" w:hAnsi="Aptos"/>
                <w:sz w:val="20"/>
              </w:rPr>
              <w:t>+9.60</w:t>
            </w:r>
          </w:p>
        </w:tc>
        <w:tc>
          <w:tcPr>
            <w:tcW w:type="dxa" w:w="1984"/>
          </w:tcPr>
          <w:p>
            <w:r>
              <w:rPr>
                <w:rFonts w:ascii="Aptos" w:hAnsi="Aptos"/>
                <w:sz w:val="20"/>
              </w:rPr>
              <w:t>+8.80</w:t>
            </w:r>
          </w:p>
        </w:tc>
        <w:tc>
          <w:tcPr>
            <w:tcW w:type="dxa" w:w="1701"/>
          </w:tcPr>
          <w:p>
            <w:r>
              <w:rPr>
                <w:rFonts w:ascii="Aptos" w:hAnsi="Aptos"/>
                <w:sz w:val="20"/>
              </w:rPr>
              <w:t>+0.80</w:t>
            </w:r>
          </w:p>
        </w:tc>
      </w:tr>
      <w:tr>
        <w:tc>
          <w:tcPr>
            <w:tcW w:type="dxa" w:w="2551"/>
          </w:tcPr>
          <w:p>
            <w:r>
              <w:rPr>
                <w:rFonts w:ascii="Aptos" w:hAnsi="Aptos"/>
                <w:sz w:val="20"/>
              </w:rPr>
              <w:t>Since Inception</w:t>
            </w:r>
          </w:p>
        </w:tc>
        <w:tc>
          <w:tcPr>
            <w:tcW w:type="dxa" w:w="1701"/>
          </w:tcPr>
          <w:p>
            <w:r>
              <w:rPr>
                <w:rFonts w:ascii="Aptos" w:hAnsi="Aptos"/>
                <w:sz w:val="20"/>
              </w:rPr>
              <w:t>+7.40</w:t>
            </w:r>
          </w:p>
        </w:tc>
        <w:tc>
          <w:tcPr>
            <w:tcW w:type="dxa" w:w="1984"/>
          </w:tcPr>
          <w:p>
            <w:r>
              <w:rPr>
                <w:rFonts w:ascii="Aptos" w:hAnsi="Aptos"/>
                <w:sz w:val="20"/>
              </w:rPr>
              <w:t>+6.90</w:t>
            </w:r>
          </w:p>
        </w:tc>
        <w:tc>
          <w:tcPr>
            <w:tcW w:type="dxa" w:w="1701"/>
          </w:tcPr>
          <w:p>
            <w:r>
              <w:rPr>
                <w:rFonts w:ascii="Aptos" w:hAnsi="Aptos"/>
                <w:sz w:val="20"/>
              </w:rPr>
              <w:t>+0.50</w:t>
            </w:r>
          </w:p>
        </w:tc>
      </w:tr>
    </w:tbl>
    <w:p/>
    <w:p>
      <w:pPr>
        <w:pStyle w:val="Heading1"/>
      </w:pPr>
      <w:r>
        <w:rPr>
          <w:rFonts w:ascii="Aptos" w:hAnsi="Aptos"/>
          <w:color w:val="1A2E3B"/>
        </w:rPr>
        <w:t>Attribution</w:t>
      </w:r>
    </w:p>
    <w:p>
      <w:r>
        <w:t>Total attribution effect for the period: +0.25%</w:t>
      </w:r>
    </w:p>
    <w:tbl>
      <w:tblGrid>
        <w:gridCol w:w="3118"/>
        <w:gridCol w:w="1984"/>
        <w:gridCol w:w="1701"/>
        <w:gridCol w:w="1984"/>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984"/>
            <w:shd w:val="clear" w:color="auto" w:fill="E8EEEC"/>
          </w:tcPr>
          <w:p>
            <w:pPr>
              <w:jc w:val="left"/>
            </w:pPr>
            <w:r>
              <w:rPr>
                <w:rFonts w:ascii="Aptos" w:hAnsi="Aptos"/>
                <w:b/>
                <w:color w:val="1A2E3B"/>
                <w:sz w:val="20"/>
              </w:rPr>
              <w:t>Allocation (%)</w:t>
            </w:r>
          </w:p>
        </w:tc>
        <w:tc>
          <w:tcPr>
            <w:tcW w:type="dxa" w:w="1701"/>
            <w:shd w:val="clear" w:color="auto" w:fill="E8EEEC"/>
          </w:tcPr>
          <w:p>
            <w:pPr>
              <w:jc w:val="left"/>
            </w:pPr>
            <w:r>
              <w:rPr>
                <w:rFonts w:ascii="Aptos" w:hAnsi="Aptos"/>
                <w:b/>
                <w:color w:val="1A2E3B"/>
                <w:sz w:val="20"/>
              </w:rPr>
              <w:t>Selection (%)</w:t>
            </w:r>
          </w:p>
        </w:tc>
        <w:tc>
          <w:tcPr>
            <w:tcW w:type="dxa" w:w="1984"/>
            <w:shd w:val="clear" w:color="auto" w:fill="E8EEEC"/>
          </w:tcPr>
          <w:p>
            <w:pPr>
              <w:jc w:val="left"/>
            </w:pPr>
            <w:r>
              <w:rPr>
                <w:rFonts w:ascii="Aptos" w:hAnsi="Aptos"/>
                <w:b/>
                <w:color w:val="1A2E3B"/>
                <w:sz w:val="20"/>
              </w:rPr>
              <w:t>Total effect (%)</w:t>
            </w:r>
          </w:p>
        </w:tc>
      </w:tr>
      <w:tr>
        <w:tc>
          <w:tcPr>
            <w:tcW w:type="dxa" w:w="3118"/>
          </w:tcPr>
          <w:p>
            <w:r>
              <w:rPr>
                <w:rFonts w:ascii="Aptos" w:hAnsi="Aptos"/>
                <w:sz w:val="20"/>
              </w:rPr>
              <w:t>Global Equities</w:t>
            </w:r>
          </w:p>
        </w:tc>
        <w:tc>
          <w:tcPr>
            <w:tcW w:type="dxa" w:w="1984"/>
          </w:tcPr>
          <w:p>
            <w:r>
              <w:rPr>
                <w:rFonts w:ascii="Aptos" w:hAnsi="Aptos"/>
                <w:sz w:val="20"/>
              </w:rPr>
              <w:t>+0.14</w:t>
            </w:r>
          </w:p>
        </w:tc>
        <w:tc>
          <w:tcPr>
            <w:tcW w:type="dxa" w:w="1701"/>
          </w:tcPr>
          <w:p>
            <w:r>
              <w:rPr>
                <w:rFonts w:ascii="Aptos" w:hAnsi="Aptos"/>
                <w:sz w:val="20"/>
              </w:rPr>
              <w:t>+0.09</w:t>
            </w:r>
          </w:p>
        </w:tc>
        <w:tc>
          <w:tcPr>
            <w:tcW w:type="dxa" w:w="1984"/>
          </w:tcPr>
          <w:p>
            <w:r>
              <w:rPr>
                <w:rFonts w:ascii="Aptos" w:hAnsi="Aptos"/>
                <w:sz w:val="20"/>
              </w:rPr>
              <w:t>+0.23</w:t>
            </w:r>
          </w:p>
        </w:tc>
      </w:tr>
      <w:tr>
        <w:tc>
          <w:tcPr>
            <w:tcW w:type="dxa" w:w="3118"/>
          </w:tcPr>
          <w:p>
            <w:r>
              <w:rPr>
                <w:rFonts w:ascii="Aptos" w:hAnsi="Aptos"/>
                <w:sz w:val="20"/>
              </w:rPr>
              <w:t>NZ Fixed Interest</w:t>
            </w:r>
          </w:p>
        </w:tc>
        <w:tc>
          <w:tcPr>
            <w:tcW w:type="dxa" w:w="1984"/>
          </w:tcPr>
          <w:p>
            <w:r>
              <w:rPr>
                <w:rFonts w:ascii="Aptos" w:hAnsi="Aptos"/>
                <w:sz w:val="20"/>
              </w:rPr>
              <w:t>-0.03</w:t>
            </w:r>
          </w:p>
        </w:tc>
        <w:tc>
          <w:tcPr>
            <w:tcW w:type="dxa" w:w="1701"/>
          </w:tcPr>
          <w:p>
            <w:r>
              <w:rPr>
                <w:rFonts w:ascii="Aptos" w:hAnsi="Aptos"/>
                <w:sz w:val="20"/>
              </w:rPr>
              <w:t>+0.05</w:t>
            </w:r>
          </w:p>
        </w:tc>
        <w:tc>
          <w:tcPr>
            <w:tcW w:type="dxa" w:w="1984"/>
          </w:tcPr>
          <w:p>
            <w:r>
              <w:rPr>
                <w:rFonts w:ascii="Aptos" w:hAnsi="Aptos"/>
                <w:sz w:val="20"/>
              </w:rPr>
              <w:t>+0.02</w:t>
            </w:r>
          </w:p>
        </w:tc>
      </w:tr>
      <w:tr>
        <w:tc>
          <w:tcPr>
            <w:tcW w:type="dxa" w:w="3118"/>
          </w:tcPr>
          <w:p>
            <w:r>
              <w:rPr>
                <w:rFonts w:ascii="Aptos" w:hAnsi="Aptos"/>
                <w:sz w:val="20"/>
              </w:rPr>
              <w:t>International Fixed Interest</w:t>
            </w:r>
          </w:p>
        </w:tc>
        <w:tc>
          <w:tcPr>
            <w:tcW w:type="dxa" w:w="1984"/>
          </w:tcPr>
          <w:p>
            <w:r>
              <w:rPr>
                <w:rFonts w:ascii="Aptos" w:hAnsi="Aptos"/>
                <w:sz w:val="20"/>
              </w:rPr>
              <w:t>+0.02</w:t>
            </w:r>
          </w:p>
        </w:tc>
        <w:tc>
          <w:tcPr>
            <w:tcW w:type="dxa" w:w="1701"/>
          </w:tcPr>
          <w:p>
            <w:r>
              <w:rPr>
                <w:rFonts w:ascii="Aptos" w:hAnsi="Aptos"/>
                <w:sz w:val="20"/>
              </w:rPr>
              <w:t>-0.01</w:t>
            </w:r>
          </w:p>
        </w:tc>
        <w:tc>
          <w:tcPr>
            <w:tcW w:type="dxa" w:w="1984"/>
          </w:tcPr>
          <w:p>
            <w:r>
              <w:rPr>
                <w:rFonts w:ascii="Aptos" w:hAnsi="Aptos"/>
                <w:sz w:val="20"/>
              </w:rPr>
              <w:t>+0.01</w:t>
            </w:r>
          </w:p>
        </w:tc>
      </w:tr>
      <w:tr>
        <w:tc>
          <w:tcPr>
            <w:tcW w:type="dxa" w:w="3118"/>
          </w:tcPr>
          <w:p>
            <w:r>
              <w:rPr>
                <w:rFonts w:ascii="Aptos" w:hAnsi="Aptos"/>
                <w:sz w:val="20"/>
              </w:rPr>
              <w:t>Cash</w:t>
            </w:r>
          </w:p>
        </w:tc>
        <w:tc>
          <w:tcPr>
            <w:tcW w:type="dxa" w:w="1984"/>
          </w:tcPr>
          <w:p>
            <w:r>
              <w:rPr>
                <w:rFonts w:ascii="Aptos" w:hAnsi="Aptos"/>
                <w:sz w:val="20"/>
              </w:rPr>
              <w:t>+0.01</w:t>
            </w:r>
          </w:p>
        </w:tc>
        <w:tc>
          <w:tcPr>
            <w:tcW w:type="dxa" w:w="1701"/>
          </w:tcPr>
          <w:p>
            <w:r>
              <w:rPr>
                <w:rFonts w:ascii="Aptos" w:hAnsi="Aptos"/>
                <w:sz w:val="20"/>
              </w:rPr>
              <w:t>+0.00</w:t>
            </w:r>
          </w:p>
        </w:tc>
        <w:tc>
          <w:tcPr>
            <w:tcW w:type="dxa" w:w="1984"/>
          </w:tcPr>
          <w:p>
            <w:r>
              <w:rPr>
                <w:rFonts w:ascii="Aptos" w:hAnsi="Aptos"/>
                <w:sz w:val="20"/>
              </w:rPr>
              <w:t>+0.01</w:t>
            </w:r>
          </w:p>
        </w:tc>
      </w:tr>
      <w:tr>
        <w:tc>
          <w:tcPr>
            <w:tcW w:type="dxa" w:w="3118"/>
          </w:tcPr>
          <w:p>
            <w:r>
              <w:rPr>
                <w:rFonts w:ascii="Aptos" w:hAnsi="Aptos"/>
                <w:sz w:val="20"/>
              </w:rPr>
              <w:t>Listed Property</w:t>
            </w:r>
          </w:p>
        </w:tc>
        <w:tc>
          <w:tcPr>
            <w:tcW w:type="dxa" w:w="1984"/>
          </w:tcPr>
          <w:p>
            <w:r>
              <w:rPr>
                <w:rFonts w:ascii="Aptos" w:hAnsi="Aptos"/>
                <w:sz w:val="20"/>
              </w:rPr>
              <w:t>-0.04</w:t>
            </w:r>
          </w:p>
        </w:tc>
        <w:tc>
          <w:tcPr>
            <w:tcW w:type="dxa" w:w="1701"/>
          </w:tcPr>
          <w:p>
            <w:r>
              <w:rPr>
                <w:rFonts w:ascii="Aptos" w:hAnsi="Aptos"/>
                <w:sz w:val="20"/>
              </w:rPr>
              <w:t>+0.02</w:t>
            </w:r>
          </w:p>
        </w:tc>
        <w:tc>
          <w:tcPr>
            <w:tcW w:type="dxa" w:w="1984"/>
          </w:tcPr>
          <w:p>
            <w:r>
              <w:rPr>
                <w:rFonts w:ascii="Aptos" w:hAnsi="Aptos"/>
                <w:sz w:val="20"/>
              </w:rPr>
              <w:t>-0.02</w:t>
            </w:r>
          </w:p>
        </w:tc>
      </w:tr>
    </w:tbl>
    <w:p/>
    <w:p>
      <w:pPr>
        <w:pStyle w:val="Heading1"/>
      </w:pPr>
      <w:r>
        <w:rPr>
          <w:rFonts w:ascii="Aptos" w:hAnsi="Aptos"/>
          <w:color w:val="1A2E3B"/>
        </w:rPr>
        <w:t>Positioning</w:t>
      </w:r>
    </w:p>
    <w:tbl>
      <w:tblGrid>
        <w:gridCol w:w="3118"/>
        <w:gridCol w:w="1701"/>
        <w:gridCol w:w="1984"/>
        <w:gridCol w:w="1701"/>
      </w:tblGrid>
      <w:tblPr>
        <w:tblW w:type="auto" w:w="0"/>
        <w:jc w:val="left"/>
        <w:tblLayout w:type="fixed"/>
        <w:tblLook w:firstColumn="1" w:firstRow="1" w:lastColumn="0" w:lastRow="0" w:noHBand="0" w:noVBand="1" w:val="04A0"/>
      </w:tblPr>
      <w:tr>
        <w:tc>
          <w:tcPr>
            <w:tcW w:type="dxa" w:w="3118"/>
            <w:shd w:val="clear" w:color="auto" w:fill="E8EEEC"/>
          </w:tcPr>
          <w:p>
            <w:pPr>
              <w:jc w:val="left"/>
            </w:pPr>
            <w:r>
              <w:rPr>
                <w:rFonts w:ascii="Aptos" w:hAnsi="Aptos"/>
                <w:b/>
                <w:color w:val="1A2E3B"/>
                <w:sz w:val="20"/>
              </w:rPr>
              <w:t>Sector</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Active (%)</w:t>
            </w:r>
          </w:p>
        </w:tc>
      </w:tr>
      <w:tr>
        <w:tc>
          <w:tcPr>
            <w:tcW w:type="dxa" w:w="3118"/>
          </w:tcPr>
          <w:p>
            <w:r>
              <w:rPr>
                <w:rFonts w:ascii="Aptos" w:hAnsi="Aptos"/>
                <w:sz w:val="20"/>
              </w:rPr>
              <w:t>Global Equities</w:t>
            </w:r>
          </w:p>
        </w:tc>
        <w:tc>
          <w:tcPr>
            <w:tcW w:type="dxa" w:w="1701"/>
          </w:tcPr>
          <w:p>
            <w:r>
              <w:rPr>
                <w:rFonts w:ascii="Aptos" w:hAnsi="Aptos"/>
                <w:sz w:val="20"/>
              </w:rPr>
              <w:t>46.5</w:t>
            </w:r>
          </w:p>
        </w:tc>
        <w:tc>
          <w:tcPr>
            <w:tcW w:type="dxa" w:w="1984"/>
          </w:tcPr>
          <w:p>
            <w:r>
              <w:rPr>
                <w:rFonts w:ascii="Aptos" w:hAnsi="Aptos"/>
                <w:sz w:val="20"/>
              </w:rPr>
              <w:t>45.0</w:t>
            </w:r>
          </w:p>
        </w:tc>
        <w:tc>
          <w:tcPr>
            <w:tcW w:type="dxa" w:w="1701"/>
          </w:tcPr>
          <w:p>
            <w:r>
              <w:rPr>
                <w:rFonts w:ascii="Aptos" w:hAnsi="Aptos"/>
                <w:sz w:val="20"/>
              </w:rPr>
              <w:t>+1.5</w:t>
            </w:r>
          </w:p>
        </w:tc>
      </w:tr>
      <w:tr>
        <w:tc>
          <w:tcPr>
            <w:tcW w:type="dxa" w:w="3118"/>
          </w:tcPr>
          <w:p>
            <w:r>
              <w:rPr>
                <w:rFonts w:ascii="Aptos" w:hAnsi="Aptos"/>
                <w:sz w:val="20"/>
              </w:rPr>
              <w:t>NZ Fixed Interest</w:t>
            </w:r>
          </w:p>
        </w:tc>
        <w:tc>
          <w:tcPr>
            <w:tcW w:type="dxa" w:w="1701"/>
          </w:tcPr>
          <w:p>
            <w:r>
              <w:rPr>
                <w:rFonts w:ascii="Aptos" w:hAnsi="Aptos"/>
                <w:sz w:val="20"/>
              </w:rPr>
              <w:t>18.2</w:t>
            </w:r>
          </w:p>
        </w:tc>
        <w:tc>
          <w:tcPr>
            <w:tcW w:type="dxa" w:w="1984"/>
          </w:tcPr>
          <w:p>
            <w:r>
              <w:rPr>
                <w:rFonts w:ascii="Aptos" w:hAnsi="Aptos"/>
                <w:sz w:val="20"/>
              </w:rPr>
              <w:t>20.0</w:t>
            </w:r>
          </w:p>
        </w:tc>
        <w:tc>
          <w:tcPr>
            <w:tcW w:type="dxa" w:w="1701"/>
          </w:tcPr>
          <w:p>
            <w:r>
              <w:rPr>
                <w:rFonts w:ascii="Aptos" w:hAnsi="Aptos"/>
                <w:sz w:val="20"/>
              </w:rPr>
              <w:t>-1.8</w:t>
            </w:r>
          </w:p>
        </w:tc>
      </w:tr>
      <w:tr>
        <w:tc>
          <w:tcPr>
            <w:tcW w:type="dxa" w:w="3118"/>
          </w:tcPr>
          <w:p>
            <w:r>
              <w:rPr>
                <w:rFonts w:ascii="Aptos" w:hAnsi="Aptos"/>
                <w:sz w:val="20"/>
              </w:rPr>
              <w:t>International Fixed Interest</w:t>
            </w:r>
          </w:p>
        </w:tc>
        <w:tc>
          <w:tcPr>
            <w:tcW w:type="dxa" w:w="1701"/>
          </w:tcPr>
          <w:p>
            <w:r>
              <w:rPr>
                <w:rFonts w:ascii="Aptos" w:hAnsi="Aptos"/>
                <w:sz w:val="20"/>
              </w:rPr>
              <w:t>17.8</w:t>
            </w:r>
          </w:p>
        </w:tc>
        <w:tc>
          <w:tcPr>
            <w:tcW w:type="dxa" w:w="1984"/>
          </w:tcPr>
          <w:p>
            <w:r>
              <w:rPr>
                <w:rFonts w:ascii="Aptos" w:hAnsi="Aptos"/>
                <w:sz w:val="20"/>
              </w:rPr>
              <w:t>20.0</w:t>
            </w:r>
          </w:p>
        </w:tc>
        <w:tc>
          <w:tcPr>
            <w:tcW w:type="dxa" w:w="1701"/>
          </w:tcPr>
          <w:p>
            <w:r>
              <w:rPr>
                <w:rFonts w:ascii="Aptos" w:hAnsi="Aptos"/>
                <w:sz w:val="20"/>
              </w:rPr>
              <w:t>-2.2</w:t>
            </w:r>
          </w:p>
        </w:tc>
      </w:tr>
      <w:tr>
        <w:tc>
          <w:tcPr>
            <w:tcW w:type="dxa" w:w="3118"/>
          </w:tcPr>
          <w:p>
            <w:r>
              <w:rPr>
                <w:rFonts w:ascii="Aptos" w:hAnsi="Aptos"/>
                <w:sz w:val="20"/>
              </w:rPr>
              <w:t>Cash</w:t>
            </w:r>
          </w:p>
        </w:tc>
        <w:tc>
          <w:tcPr>
            <w:tcW w:type="dxa" w:w="1701"/>
          </w:tcPr>
          <w:p>
            <w:r>
              <w:rPr>
                <w:rFonts w:ascii="Aptos" w:hAnsi="Aptos"/>
                <w:sz w:val="20"/>
              </w:rPr>
              <w:t>5.5</w:t>
            </w:r>
          </w:p>
        </w:tc>
        <w:tc>
          <w:tcPr>
            <w:tcW w:type="dxa" w:w="1984"/>
          </w:tcPr>
          <w:p>
            <w:r>
              <w:rPr>
                <w:rFonts w:ascii="Aptos" w:hAnsi="Aptos"/>
                <w:sz w:val="20"/>
              </w:rPr>
              <w:t>5.0</w:t>
            </w:r>
          </w:p>
        </w:tc>
        <w:tc>
          <w:tcPr>
            <w:tcW w:type="dxa" w:w="1701"/>
          </w:tcPr>
          <w:p>
            <w:r>
              <w:rPr>
                <w:rFonts w:ascii="Aptos" w:hAnsi="Aptos"/>
                <w:sz w:val="20"/>
              </w:rPr>
              <w:t>+0.5</w:t>
            </w:r>
          </w:p>
        </w:tc>
      </w:tr>
      <w:tr>
        <w:tc>
          <w:tcPr>
            <w:tcW w:type="dxa" w:w="3118"/>
          </w:tcPr>
          <w:p>
            <w:r>
              <w:rPr>
                <w:rFonts w:ascii="Aptos" w:hAnsi="Aptos"/>
                <w:sz w:val="20"/>
              </w:rPr>
              <w:t>Listed Property</w:t>
            </w:r>
          </w:p>
        </w:tc>
        <w:tc>
          <w:tcPr>
            <w:tcW w:type="dxa" w:w="1701"/>
          </w:tcPr>
          <w:p>
            <w:r>
              <w:rPr>
                <w:rFonts w:ascii="Aptos" w:hAnsi="Aptos"/>
                <w:sz w:val="20"/>
              </w:rPr>
              <w:t>6.0</w:t>
            </w:r>
          </w:p>
        </w:tc>
        <w:tc>
          <w:tcPr>
            <w:tcW w:type="dxa" w:w="1984"/>
          </w:tcPr>
          <w:p>
            <w:r>
              <w:rPr>
                <w:rFonts w:ascii="Aptos" w:hAnsi="Aptos"/>
                <w:sz w:val="20"/>
              </w:rPr>
              <w:t>5.0</w:t>
            </w:r>
          </w:p>
        </w:tc>
        <w:tc>
          <w:tcPr>
            <w:tcW w:type="dxa" w:w="1701"/>
          </w:tcPr>
          <w:p>
            <w:r>
              <w:rPr>
                <w:rFonts w:ascii="Aptos" w:hAnsi="Aptos"/>
                <w:sz w:val="20"/>
              </w:rPr>
              <w:t>+1.0</w:t>
            </w:r>
          </w:p>
        </w:tc>
      </w:tr>
      <w:tr>
        <w:tc>
          <w:tcPr>
            <w:tcW w:type="dxa" w:w="3118"/>
          </w:tcPr>
          <w:p>
            <w:r>
              <w:rPr>
                <w:rFonts w:ascii="Aptos" w:hAnsi="Aptos"/>
                <w:sz w:val="20"/>
              </w:rPr>
              <w:t>Other</w:t>
            </w:r>
          </w:p>
        </w:tc>
        <w:tc>
          <w:tcPr>
            <w:tcW w:type="dxa" w:w="1701"/>
          </w:tcPr>
          <w:p>
            <w:r>
              <w:rPr>
                <w:rFonts w:ascii="Aptos" w:hAnsi="Aptos"/>
                <w:sz w:val="20"/>
              </w:rPr>
              <w:t>6.0</w:t>
            </w:r>
          </w:p>
        </w:tc>
        <w:tc>
          <w:tcPr>
            <w:tcW w:type="dxa" w:w="1984"/>
          </w:tcPr>
          <w:p>
            <w:r>
              <w:rPr>
                <w:rFonts w:ascii="Aptos" w:hAnsi="Aptos"/>
                <w:sz w:val="20"/>
              </w:rPr>
              <w:t>5.0</w:t>
            </w:r>
          </w:p>
        </w:tc>
        <w:tc>
          <w:tcPr>
            <w:tcW w:type="dxa" w:w="1701"/>
          </w:tcPr>
          <w:p>
            <w:r>
              <w:rPr>
                <w:rFonts w:ascii="Aptos" w:hAnsi="Aptos"/>
                <w:sz w:val="20"/>
              </w:rPr>
              <w:t>+1.0</w:t>
            </w:r>
          </w:p>
        </w:tc>
      </w:tr>
    </w:tbl>
    <w:p/>
    <w:p>
      <w:pPr>
        <w:pStyle w:val="Heading1"/>
      </w:pPr>
      <w:r>
        <w:rPr>
          <w:rFonts w:ascii="Aptos" w:hAnsi="Aptos"/>
          <w:color w:val="1A2E3B"/>
        </w:rPr>
        <w:t>Macro drivers</w:t>
      </w:r>
    </w:p>
    <w:p>
      <w:pPr>
        <w:pStyle w:val="ListBullet"/>
      </w:pPr>
      <w:r>
        <w:rPr>
          <w:rFonts w:ascii="Aptos" w:hAnsi="Aptos"/>
          <w:b/>
        </w:rPr>
        <w:t>Interest rates: RBNZ Official Cash Rate held at 3.00%</w:t>
      </w:r>
    </w:p>
    <w:p>
      <w:pPr>
        <w:ind w:left="340"/>
      </w:pPr>
      <w:r>
        <w:rPr>
          <w:rFonts w:ascii="Aptos" w:hAnsi="Aptos"/>
          <w:sz w:val="21"/>
        </w:rPr>
        <w:t>The Reserve Bank of New Zealand held the OCR steady, with guidance suggesting a data-dependent approach to further easing. This kept domestic fixed interest yields broadly range-bound over the month.</w:t>
      </w:r>
    </w:p>
    <w:p>
      <w:pPr>
        <w:pStyle w:val="ListBullet"/>
      </w:pPr>
      <w:r>
        <w:rPr>
          <w:rFonts w:ascii="Aptos" w:hAnsi="Aptos"/>
          <w:b/>
        </w:rPr>
        <w:t>Bond yields: NZ 10-year government bond yield eased 5bps to 4.38%</w:t>
      </w:r>
    </w:p>
    <w:p>
      <w:pPr>
        <w:ind w:left="340"/>
      </w:pPr>
      <w:r>
        <w:rPr>
          <w:rFonts w:ascii="Aptos" w:hAnsi="Aptos"/>
          <w:sz w:val="21"/>
        </w:rPr>
        <w:t>A modest decline in longer-dated domestic yields provided a small positive contribution to the fund's fixed interest allocation.</w:t>
      </w:r>
    </w:p>
    <w:p>
      <w:pPr>
        <w:pStyle w:val="ListBullet"/>
      </w:pPr>
      <w:r>
        <w:rPr>
          <w:rFonts w:ascii="Aptos" w:hAnsi="Aptos"/>
          <w:b/>
        </w:rPr>
        <w:t>FX: NZD/USD ended the month at 0.585, down 1.2%</w:t>
      </w:r>
    </w:p>
    <w:p>
      <w:pPr>
        <w:ind w:left="340"/>
      </w:pPr>
      <w:r>
        <w:rPr>
          <w:rFonts w:ascii="Aptos" w:hAnsi="Aptos"/>
          <w:sz w:val="21"/>
        </w:rPr>
        <w:t>The fund's international fixed interest allocation is largely currency-hedged, limiting the FX impact on that portion of the portfolio, while the unhedged equity allocation benefited modestly from currency movement.</w:t>
      </w:r>
    </w:p>
    <w:p>
      <w:pPr>
        <w:pStyle w:val="ListBullet"/>
      </w:pPr>
      <w:r>
        <w:rPr>
          <w:rFonts w:ascii="Aptos" w:hAnsi="Aptos"/>
          <w:b/>
        </w:rPr>
        <w:t>Inflation: NZ annual CPI at 2.8%</w:t>
      </w:r>
    </w:p>
    <w:p>
      <w:pPr>
        <w:ind w:left="340"/>
      </w:pPr>
      <w:r>
        <w:rPr>
          <w:rFonts w:ascii="Aptos" w:hAnsi="Aptos"/>
          <w:sz w:val="21"/>
        </w:rPr>
        <w:t>Inflation remaining within the RBNZ's target band supported the case for a steady policy rate over the month, with limited surprise to market pricing.</w:t>
      </w:r>
    </w:p>
    <w:p>
      <w:pPr>
        <w:pStyle w:val="Heading1"/>
      </w:pPr>
      <w:r>
        <w:rPr>
          <w:rFonts w:ascii="Aptos" w:hAnsi="Aptos"/>
          <w:color w:val="1A2E3B"/>
        </w:rPr>
        <w:t>Commentary</w:t>
      </w:r>
    </w:p>
    <w:p>
      <w:pPr>
        <w:pStyle w:val="Heading2"/>
      </w:pPr>
      <w:r>
        <w:rPr>
          <w:rFonts w:ascii="Aptos" w:hAnsi="Aptos"/>
          <w:color w:val="1A2E3B"/>
        </w:rPr>
        <w:t>Market commentary</w:t>
      </w:r>
    </w:p>
    <w:p>
      <w:r>
        <w:rPr>
          <w:rFonts w:ascii="Aptos" w:hAnsi="Aptos"/>
        </w:rPr>
        <w:t>Balanced portfolios benefited from a constructive month across both growth and income assets, with global equities providing the bulk of the fund's return while fixed interest allocations added a smaller, steadier contribution.</w:t>
      </w:r>
    </w:p>
    <w:p>
      <w:pPr>
        <w:pStyle w:val="Heading2"/>
      </w:pPr>
      <w:r>
        <w:rPr>
          <w:rFonts w:ascii="Aptos" w:hAnsi="Aptos"/>
          <w:color w:val="1A2E3B"/>
        </w:rPr>
        <w:t>Attribution commentary</w:t>
      </w:r>
    </w:p>
    <w:p>
      <w:r>
        <w:rPr>
          <w:rFonts w:ascii="Aptos" w:hAnsi="Aptos"/>
        </w:rPr>
        <w:t>The fund's equity allocation was the primary driver of relative outperformance this month, with both allocation and selection effects positive. The listed property allocation detracted modestly from relative performance as domestic property names lagged the broader market.</w:t>
      </w:r>
    </w:p>
    <w:p>
      <w:pPr>
        <w:pStyle w:val="Heading2"/>
      </w:pPr>
      <w:r>
        <w:rPr>
          <w:rFonts w:ascii="Aptos" w:hAnsi="Aptos"/>
          <w:color w:val="1A2E3B"/>
        </w:rPr>
        <w:t>Outlook</w:t>
      </w:r>
    </w:p>
    <w:p>
      <w:r>
        <w:rPr>
          <w:rFonts w:ascii="Aptos" w:hAnsi="Aptos"/>
        </w:rPr>
        <w:t>The portfolio retains a modest overweight to global equities relative to the benchmark, reflecting a constructive medium-term view, while fixed interest duration positioning remains close to benchmark pending further clarity on the rate outlook.</w:t>
      </w:r>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No part of this report was written by a language model.</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