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512000" cy="350206"/>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512000" cy="350206"/>
                    </a:xfrm>
                    <a:prstGeom prst="rect"/>
                  </pic:spPr>
                </pic:pic>
              </a:graphicData>
            </a:graphic>
          </wp:inline>
        </w:drawing>
      </w:r>
    </w:p>
    <w:p>
      <w:pPr>
        <w:pStyle w:val="Title"/>
      </w:pPr>
      <w:r>
        <w:rPr>
          <w:rFonts w:ascii="Aptos" w:hAnsi="Aptos"/>
          <w:color w:val="1A2E3B"/>
        </w:rPr>
        <w:t>Global Equity Fund</w:t>
      </w:r>
    </w:p>
    <w:p>
      <w:r>
        <w:rPr>
          <w:rFonts w:ascii="Aptos" w:hAnsi="Aptos"/>
          <w:color w:val="2E6B5E"/>
          <w:sz w:val="22"/>
        </w:rPr>
        <w:t>Super Amazing Fund Management  |  Month ended 31 August 2026</w:t>
      </w:r>
    </w:p>
    <w:p>
      <w:r>
        <w:rPr>
          <w:rFonts w:ascii="Aptos" w:hAnsi="Aptos"/>
          <w:i/>
          <w:sz w:val="20"/>
        </w:rPr>
        <w:t>Benchmark: MSCI World Index (NZD, unhedged)</w:t>
      </w:r>
    </w:p>
    <w:p>
      <w:r>
        <w:rPr>
          <w:rFonts w:ascii="Aptos" w:hAnsi="Aptos"/>
          <w:b/>
          <w:color w:val="1A2E3B"/>
          <w:sz w:val="19"/>
        </w:rPr>
        <w:t>About this report</w:t>
      </w:r>
    </w:p>
    <w:p>
      <w:pPr>
        <w:pStyle w:val="ListBullet"/>
        <w:ind w:left="454"/>
      </w:pPr>
      <w:r>
        <w:rPr>
          <w:rFonts w:ascii="Aptos" w:hAnsi="Aptos"/>
          <w:color w:val="6B541B"/>
          <w:sz w:val="19"/>
        </w:rPr>
        <w:t>The figures in this report are fixed placeholder data and do not vary by period. Changing the reporting dates changes what the report says it covers, not the numbers in it.</w:t>
      </w:r>
    </w:p>
    <w:p>
      <w:pPr>
        <w:pStyle w:val="ListBullet"/>
        <w:ind w:left="454"/>
      </w:pPr>
      <w:r>
        <w:rPr>
          <w:rFonts w:ascii="Aptos" w:hAnsi="Aptos"/>
          <w:color w:val="6B541B"/>
          <w:sz w:val="19"/>
        </w:rPr>
        <w:t>Written for: Savvy wholesale investors.</w:t>
      </w:r>
    </w:p>
    <w:p>
      <w:pPr>
        <w:pStyle w:val="ListBullet"/>
        <w:ind w:left="454"/>
      </w:pPr>
      <w:r>
        <w:rPr>
          <w:rFonts w:ascii="Aptos" w:hAnsi="Aptos"/>
          <w:color w:val="6B541B"/>
          <w:sz w:val="19"/>
        </w:rPr>
        <w:t>Market reactions were drafted by an AI model, which searched NZX, ASX, Disclose Register, NZ Companies Office, Financial Markets Authority, Reserve Bank of New Zealand, Stats NZ, NZ Treasury, Bloomberg, BusinessDesk, National Business Review, interest.co.nz, US SEC EDGAR, US Federal Reserve, European Central Bank for Microsoft, ASML Holding, Novo Nordisk. Every resulting statement is labelled and footnoted to the source it came from.</w:t>
      </w:r>
    </w:p>
    <w:p>
      <w:pPr>
        <w:pStyle w:val="ListBullet"/>
        <w:ind w:left="454"/>
      </w:pPr>
      <w:r>
        <w:rPr>
          <w:rFonts w:ascii="Aptos" w:hAnsi="Aptos"/>
          <w:color w:val="6B541B"/>
          <w:sz w:val="19"/>
        </w:rPr>
        <w:t>Market commentary, attribution commentary and outlook were drafted by an AI model from the fund's own figures and current market reporting. Every resulting statement is labelled and footnoted to the source it came from.</w:t>
      </w:r>
    </w:p>
    <w:p/>
    <w:p>
      <w:pPr>
        <w:pStyle w:val="Heading1"/>
      </w:pPr>
      <w:r>
        <w:rPr>
          <w:rFonts w:ascii="Aptos" w:hAnsi="Aptos"/>
          <w:color w:val="1A2E3B"/>
        </w:rPr>
        <w:t>Fund returns</w:t>
      </w:r>
    </w:p>
    <w:p>
      <w:r>
        <w:drawing>
          <wp:inline xmlns:a="http://schemas.openxmlformats.org/drawingml/2006/main" xmlns:pic="http://schemas.openxmlformats.org/drawingml/2006/picture">
            <wp:extent cx="5760000" cy="2194286"/>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760000" cy="2194286"/>
                    </a:xfrm>
                    <a:prstGeom prst="rect"/>
                  </pic:spPr>
                </pic:pic>
              </a:graphicData>
            </a:graphic>
          </wp:inline>
        </w:drawing>
      </w:r>
    </w:p>
    <w:tbl>
      <w:tblGrid>
        <w:gridCol w:w="2551"/>
        <w:gridCol w:w="1701"/>
        <w:gridCol w:w="1984"/>
        <w:gridCol w:w="1701"/>
      </w:tblGrid>
      <w:tblPr>
        <w:tblW w:type="auto" w:w="0"/>
        <w:jc w:val="left"/>
        <w:tblLayout w:type="fixed"/>
        <w:tblLook w:firstColumn="1" w:firstRow="1" w:lastColumn="0" w:lastRow="0" w:noHBand="0" w:noVBand="1" w:val="04A0"/>
      </w:tblPr>
      <w:tr>
        <w:tc>
          <w:tcPr>
            <w:tcW w:type="dxa" w:w="2551"/>
            <w:shd w:val="clear" w:color="auto" w:fill="E8EEEC"/>
          </w:tcPr>
          <w:p>
            <w:pPr>
              <w:jc w:val="left"/>
            </w:pPr>
            <w:r>
              <w:rPr>
                <w:rFonts w:ascii="Aptos" w:hAnsi="Aptos"/>
                <w:b/>
                <w:color w:val="1A2E3B"/>
                <w:sz w:val="20"/>
              </w:rPr>
              <w:t>Period</w:t>
            </w:r>
          </w:p>
        </w:tc>
        <w:tc>
          <w:tcPr>
            <w:tcW w:type="dxa" w:w="1701"/>
            <w:shd w:val="clear" w:color="auto" w:fill="E8EEEC"/>
          </w:tcPr>
          <w:p>
            <w:pPr>
              <w:jc w:val="left"/>
            </w:pPr>
            <w:r>
              <w:rPr>
                <w:rFonts w:ascii="Aptos" w:hAnsi="Aptos"/>
                <w:b/>
                <w:color w:val="1A2E3B"/>
                <w:sz w:val="20"/>
              </w:rPr>
              <w:t>Fund (%)</w:t>
            </w:r>
          </w:p>
        </w:tc>
        <w:tc>
          <w:tcPr>
            <w:tcW w:type="dxa" w:w="1984"/>
            <w:shd w:val="clear" w:color="auto" w:fill="E8EEEC"/>
          </w:tcPr>
          <w:p>
            <w:pPr>
              <w:jc w:val="left"/>
            </w:pPr>
            <w:r>
              <w:rPr>
                <w:rFonts w:ascii="Aptos" w:hAnsi="Aptos"/>
                <w:b/>
                <w:color w:val="1A2E3B"/>
                <w:sz w:val="20"/>
              </w:rPr>
              <w:t>Benchmark (%)</w:t>
            </w:r>
          </w:p>
        </w:tc>
        <w:tc>
          <w:tcPr>
            <w:tcW w:type="dxa" w:w="1701"/>
            <w:shd w:val="clear" w:color="auto" w:fill="E8EEEC"/>
          </w:tcPr>
          <w:p>
            <w:pPr>
              <w:jc w:val="left"/>
            </w:pPr>
            <w:r>
              <w:rPr>
                <w:rFonts w:ascii="Aptos" w:hAnsi="Aptos"/>
                <w:b/>
                <w:color w:val="1A2E3B"/>
                <w:sz w:val="20"/>
              </w:rPr>
              <w:t>Excess (%)</w:t>
            </w:r>
          </w:p>
        </w:tc>
      </w:tr>
      <w:tr>
        <w:tc>
          <w:tcPr>
            <w:tcW w:type="dxa" w:w="2551"/>
          </w:tcPr>
          <w:p>
            <w:r>
              <w:rPr>
                <w:rFonts w:ascii="Aptos" w:hAnsi="Aptos"/>
                <w:sz w:val="20"/>
              </w:rPr>
              <w:t>1 Month</w:t>
            </w:r>
          </w:p>
        </w:tc>
        <w:tc>
          <w:tcPr>
            <w:tcW w:type="dxa" w:w="1701"/>
          </w:tcPr>
          <w:p>
            <w:r>
              <w:rPr>
                <w:rFonts w:ascii="Aptos" w:hAnsi="Aptos"/>
                <w:sz w:val="20"/>
              </w:rPr>
              <w:t>+1.14</w:t>
            </w:r>
          </w:p>
        </w:tc>
        <w:tc>
          <w:tcPr>
            <w:tcW w:type="dxa" w:w="1984"/>
          </w:tcPr>
          <w:p>
            <w:r>
              <w:rPr>
                <w:rFonts w:ascii="Aptos" w:hAnsi="Aptos"/>
                <w:sz w:val="20"/>
              </w:rPr>
              <w:t>+2.58</w:t>
            </w:r>
          </w:p>
        </w:tc>
        <w:tc>
          <w:tcPr>
            <w:tcW w:type="dxa" w:w="1701"/>
          </w:tcPr>
          <w:p>
            <w:r>
              <w:rPr>
                <w:rFonts w:ascii="Aptos" w:hAnsi="Aptos"/>
                <w:sz w:val="20"/>
              </w:rPr>
              <w:t>-1.44</w:t>
            </w:r>
          </w:p>
        </w:tc>
      </w:tr>
      <w:tr>
        <w:tc>
          <w:tcPr>
            <w:tcW w:type="dxa" w:w="2551"/>
          </w:tcPr>
          <w:p>
            <w:r>
              <w:rPr>
                <w:rFonts w:ascii="Aptos" w:hAnsi="Aptos"/>
                <w:sz w:val="20"/>
              </w:rPr>
              <w:t>3 Months</w:t>
            </w:r>
          </w:p>
        </w:tc>
        <w:tc>
          <w:tcPr>
            <w:tcW w:type="dxa" w:w="1701"/>
          </w:tcPr>
          <w:p>
            <w:r>
              <w:rPr>
                <w:rFonts w:ascii="Aptos" w:hAnsi="Aptos"/>
                <w:sz w:val="20"/>
              </w:rPr>
              <w:t>+4.60</w:t>
            </w:r>
          </w:p>
        </w:tc>
        <w:tc>
          <w:tcPr>
            <w:tcW w:type="dxa" w:w="1984"/>
          </w:tcPr>
          <w:p>
            <w:r>
              <w:rPr>
                <w:rFonts w:ascii="Aptos" w:hAnsi="Aptos"/>
                <w:sz w:val="20"/>
              </w:rPr>
              <w:t>+4.90</w:t>
            </w:r>
          </w:p>
        </w:tc>
        <w:tc>
          <w:tcPr>
            <w:tcW w:type="dxa" w:w="1701"/>
          </w:tcPr>
          <w:p>
            <w:r>
              <w:rPr>
                <w:rFonts w:ascii="Aptos" w:hAnsi="Aptos"/>
                <w:sz w:val="20"/>
              </w:rPr>
              <w:t>-0.30</w:t>
            </w:r>
          </w:p>
        </w:tc>
      </w:tr>
      <w:tr>
        <w:tc>
          <w:tcPr>
            <w:tcW w:type="dxa" w:w="2551"/>
          </w:tcPr>
          <w:p>
            <w:r>
              <w:rPr>
                <w:rFonts w:ascii="Aptos" w:hAnsi="Aptos"/>
                <w:sz w:val="20"/>
              </w:rPr>
              <w:t>1 Year</w:t>
            </w:r>
          </w:p>
        </w:tc>
        <w:tc>
          <w:tcPr>
            <w:tcW w:type="dxa" w:w="1701"/>
          </w:tcPr>
          <w:p>
            <w:r>
              <w:rPr>
                <w:rFonts w:ascii="Aptos" w:hAnsi="Aptos"/>
                <w:sz w:val="20"/>
              </w:rPr>
              <w:t>+14.20</w:t>
            </w:r>
          </w:p>
        </w:tc>
        <w:tc>
          <w:tcPr>
            <w:tcW w:type="dxa" w:w="1984"/>
          </w:tcPr>
          <w:p>
            <w:r>
              <w:rPr>
                <w:rFonts w:ascii="Aptos" w:hAnsi="Aptos"/>
                <w:sz w:val="20"/>
              </w:rPr>
              <w:t>+12.70</w:t>
            </w:r>
          </w:p>
        </w:tc>
        <w:tc>
          <w:tcPr>
            <w:tcW w:type="dxa" w:w="1701"/>
          </w:tcPr>
          <w:p>
            <w:r>
              <w:rPr>
                <w:rFonts w:ascii="Aptos" w:hAnsi="Aptos"/>
                <w:sz w:val="20"/>
              </w:rPr>
              <w:t>+1.50</w:t>
            </w:r>
          </w:p>
        </w:tc>
      </w:tr>
      <w:tr>
        <w:tc>
          <w:tcPr>
            <w:tcW w:type="dxa" w:w="2551"/>
          </w:tcPr>
          <w:p>
            <w:r>
              <w:rPr>
                <w:rFonts w:ascii="Aptos" w:hAnsi="Aptos"/>
                <w:sz w:val="20"/>
              </w:rPr>
              <w:t>Since Inception</w:t>
            </w:r>
          </w:p>
        </w:tc>
        <w:tc>
          <w:tcPr>
            <w:tcW w:type="dxa" w:w="1701"/>
          </w:tcPr>
          <w:p>
            <w:r>
              <w:rPr>
                <w:rFonts w:ascii="Aptos" w:hAnsi="Aptos"/>
                <w:sz w:val="20"/>
              </w:rPr>
              <w:t>+9.80</w:t>
            </w:r>
          </w:p>
        </w:tc>
        <w:tc>
          <w:tcPr>
            <w:tcW w:type="dxa" w:w="1984"/>
          </w:tcPr>
          <w:p>
            <w:r>
              <w:rPr>
                <w:rFonts w:ascii="Aptos" w:hAnsi="Aptos"/>
                <w:sz w:val="20"/>
              </w:rPr>
              <w:t>+8.90</w:t>
            </w:r>
          </w:p>
        </w:tc>
        <w:tc>
          <w:tcPr>
            <w:tcW w:type="dxa" w:w="1701"/>
          </w:tcPr>
          <w:p>
            <w:r>
              <w:rPr>
                <w:rFonts w:ascii="Aptos" w:hAnsi="Aptos"/>
                <w:sz w:val="20"/>
              </w:rPr>
              <w:t>+0.90</w:t>
            </w:r>
          </w:p>
        </w:tc>
      </w:tr>
    </w:tbl>
    <w:p/>
    <w:p>
      <w:pPr>
        <w:pStyle w:val="Heading1"/>
      </w:pPr>
      <w:r>
        <w:rPr>
          <w:rFonts w:ascii="Aptos" w:hAnsi="Aptos"/>
          <w:color w:val="1A2E3B"/>
        </w:rPr>
        <w:t>Attribution</w:t>
      </w:r>
    </w:p>
    <w:p>
      <w:r>
        <w:t>Total attribution effect for the period: -1.43%</w:t>
      </w:r>
    </w:p>
    <w:tbl>
      <w:tblGrid>
        <w:gridCol w:w="3118"/>
        <w:gridCol w:w="1984"/>
        <w:gridCol w:w="1701"/>
        <w:gridCol w:w="1984"/>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Sector</w:t>
            </w:r>
          </w:p>
        </w:tc>
        <w:tc>
          <w:tcPr>
            <w:tcW w:type="dxa" w:w="1984"/>
            <w:shd w:val="clear" w:color="auto" w:fill="E8EEEC"/>
          </w:tcPr>
          <w:p>
            <w:pPr>
              <w:jc w:val="left"/>
            </w:pPr>
            <w:r>
              <w:rPr>
                <w:rFonts w:ascii="Aptos" w:hAnsi="Aptos"/>
                <w:b/>
                <w:color w:val="1A2E3B"/>
                <w:sz w:val="20"/>
              </w:rPr>
              <w:t>Allocation (%)</w:t>
            </w:r>
          </w:p>
        </w:tc>
        <w:tc>
          <w:tcPr>
            <w:tcW w:type="dxa" w:w="1701"/>
            <w:shd w:val="clear" w:color="auto" w:fill="E8EEEC"/>
          </w:tcPr>
          <w:p>
            <w:pPr>
              <w:jc w:val="left"/>
            </w:pPr>
            <w:r>
              <w:rPr>
                <w:rFonts w:ascii="Aptos" w:hAnsi="Aptos"/>
                <w:b/>
                <w:color w:val="1A2E3B"/>
                <w:sz w:val="20"/>
              </w:rPr>
              <w:t>Selection (%)</w:t>
            </w:r>
          </w:p>
        </w:tc>
        <w:tc>
          <w:tcPr>
            <w:tcW w:type="dxa" w:w="1984"/>
            <w:shd w:val="clear" w:color="auto" w:fill="E8EEEC"/>
          </w:tcPr>
          <w:p>
            <w:pPr>
              <w:jc w:val="left"/>
            </w:pPr>
            <w:r>
              <w:rPr>
                <w:rFonts w:ascii="Aptos" w:hAnsi="Aptos"/>
                <w:b/>
                <w:color w:val="1A2E3B"/>
                <w:sz w:val="20"/>
              </w:rPr>
              <w:t>Total effect (%)</w:t>
            </w:r>
          </w:p>
        </w:tc>
      </w:tr>
      <w:tr>
        <w:tc>
          <w:tcPr>
            <w:tcW w:type="dxa" w:w="3118"/>
          </w:tcPr>
          <w:p>
            <w:r>
              <w:rPr>
                <w:rFonts w:ascii="Aptos" w:hAnsi="Aptos"/>
                <w:sz w:val="20"/>
              </w:rPr>
              <w:t>Utilities</w:t>
            </w:r>
          </w:p>
        </w:tc>
        <w:tc>
          <w:tcPr>
            <w:tcW w:type="dxa" w:w="1984"/>
          </w:tcPr>
          <w:p>
            <w:r>
              <w:rPr>
                <w:rFonts w:ascii="Aptos" w:hAnsi="Aptos"/>
                <w:sz w:val="20"/>
              </w:rPr>
              <w:t>+0.15</w:t>
            </w:r>
          </w:p>
        </w:tc>
        <w:tc>
          <w:tcPr>
            <w:tcW w:type="dxa" w:w="1701"/>
          </w:tcPr>
          <w:p>
            <w:r>
              <w:rPr>
                <w:rFonts w:ascii="Aptos" w:hAnsi="Aptos"/>
                <w:sz w:val="20"/>
              </w:rPr>
              <w:t>+0.00</w:t>
            </w:r>
          </w:p>
        </w:tc>
        <w:tc>
          <w:tcPr>
            <w:tcW w:type="dxa" w:w="1984"/>
          </w:tcPr>
          <w:p>
            <w:r>
              <w:rPr>
                <w:rFonts w:ascii="Aptos" w:hAnsi="Aptos"/>
                <w:sz w:val="20"/>
              </w:rPr>
              <w:t>+0.15</w:t>
            </w:r>
          </w:p>
        </w:tc>
      </w:tr>
      <w:tr>
        <w:tc>
          <w:tcPr>
            <w:tcW w:type="dxa" w:w="3118"/>
          </w:tcPr>
          <w:p>
            <w:r>
              <w:rPr>
                <w:rFonts w:ascii="Aptos" w:hAnsi="Aptos"/>
                <w:sz w:val="20"/>
              </w:rPr>
              <w:t>Financials</w:t>
            </w:r>
          </w:p>
        </w:tc>
        <w:tc>
          <w:tcPr>
            <w:tcW w:type="dxa" w:w="1984"/>
          </w:tcPr>
          <w:p>
            <w:r>
              <w:rPr>
                <w:rFonts w:ascii="Aptos" w:hAnsi="Aptos"/>
                <w:sz w:val="20"/>
              </w:rPr>
              <w:t>-0.14</w:t>
            </w:r>
          </w:p>
        </w:tc>
        <w:tc>
          <w:tcPr>
            <w:tcW w:type="dxa" w:w="1701"/>
          </w:tcPr>
          <w:p>
            <w:r>
              <w:rPr>
                <w:rFonts w:ascii="Aptos" w:hAnsi="Aptos"/>
                <w:sz w:val="20"/>
              </w:rPr>
              <w:t>+0.24</w:t>
            </w:r>
          </w:p>
        </w:tc>
        <w:tc>
          <w:tcPr>
            <w:tcW w:type="dxa" w:w="1984"/>
          </w:tcPr>
          <w:p>
            <w:r>
              <w:rPr>
                <w:rFonts w:ascii="Aptos" w:hAnsi="Aptos"/>
                <w:sz w:val="20"/>
              </w:rPr>
              <w:t>+0.09</w:t>
            </w:r>
          </w:p>
        </w:tc>
      </w:tr>
      <w:tr>
        <w:tc>
          <w:tcPr>
            <w:tcW w:type="dxa" w:w="3118"/>
          </w:tcPr>
          <w:p>
            <w:r>
              <w:rPr>
                <w:rFonts w:ascii="Aptos" w:hAnsi="Aptos"/>
                <w:sz w:val="20"/>
              </w:rPr>
              <w:t>Real Estate</w:t>
            </w:r>
          </w:p>
        </w:tc>
        <w:tc>
          <w:tcPr>
            <w:tcW w:type="dxa" w:w="1984"/>
          </w:tcPr>
          <w:p>
            <w:r>
              <w:rPr>
                <w:rFonts w:ascii="Aptos" w:hAnsi="Aptos"/>
                <w:sz w:val="20"/>
              </w:rPr>
              <w:t>+0.08</w:t>
            </w:r>
          </w:p>
        </w:tc>
        <w:tc>
          <w:tcPr>
            <w:tcW w:type="dxa" w:w="1701"/>
          </w:tcPr>
          <w:p>
            <w:r>
              <w:rPr>
                <w:rFonts w:ascii="Aptos" w:hAnsi="Aptos"/>
                <w:sz w:val="20"/>
              </w:rPr>
              <w:t>+0.00</w:t>
            </w:r>
          </w:p>
        </w:tc>
        <w:tc>
          <w:tcPr>
            <w:tcW w:type="dxa" w:w="1984"/>
          </w:tcPr>
          <w:p>
            <w:r>
              <w:rPr>
                <w:rFonts w:ascii="Aptos" w:hAnsi="Aptos"/>
                <w:sz w:val="20"/>
              </w:rPr>
              <w:t>+0.08</w:t>
            </w:r>
          </w:p>
        </w:tc>
      </w:tr>
      <w:tr>
        <w:tc>
          <w:tcPr>
            <w:tcW w:type="dxa" w:w="3118"/>
          </w:tcPr>
          <w:p>
            <w:r>
              <w:rPr>
                <w:rFonts w:ascii="Aptos" w:hAnsi="Aptos"/>
                <w:sz w:val="20"/>
              </w:rPr>
              <w:t>Health Care</w:t>
            </w:r>
          </w:p>
        </w:tc>
        <w:tc>
          <w:tcPr>
            <w:tcW w:type="dxa" w:w="1984"/>
          </w:tcPr>
          <w:p>
            <w:r>
              <w:rPr>
                <w:rFonts w:ascii="Aptos" w:hAnsi="Aptos"/>
                <w:sz w:val="20"/>
              </w:rPr>
              <w:t>+0.06</w:t>
            </w:r>
          </w:p>
        </w:tc>
        <w:tc>
          <w:tcPr>
            <w:tcW w:type="dxa" w:w="1701"/>
          </w:tcPr>
          <w:p>
            <w:r>
              <w:rPr>
                <w:rFonts w:ascii="Aptos" w:hAnsi="Aptos"/>
                <w:sz w:val="20"/>
              </w:rPr>
              <w:t>+0.02</w:t>
            </w:r>
          </w:p>
        </w:tc>
        <w:tc>
          <w:tcPr>
            <w:tcW w:type="dxa" w:w="1984"/>
          </w:tcPr>
          <w:p>
            <w:r>
              <w:rPr>
                <w:rFonts w:ascii="Aptos" w:hAnsi="Aptos"/>
                <w:sz w:val="20"/>
              </w:rPr>
              <w:t>+0.07</w:t>
            </w:r>
          </w:p>
        </w:tc>
      </w:tr>
      <w:tr>
        <w:tc>
          <w:tcPr>
            <w:tcW w:type="dxa" w:w="3118"/>
          </w:tcPr>
          <w:p>
            <w:r>
              <w:rPr>
                <w:rFonts w:ascii="Aptos" w:hAnsi="Aptos"/>
                <w:sz w:val="20"/>
              </w:rPr>
              <w:t>Materials</w:t>
            </w:r>
          </w:p>
        </w:tc>
        <w:tc>
          <w:tcPr>
            <w:tcW w:type="dxa" w:w="1984"/>
          </w:tcPr>
          <w:p>
            <w:r>
              <w:rPr>
                <w:rFonts w:ascii="Aptos" w:hAnsi="Aptos"/>
                <w:sz w:val="20"/>
              </w:rPr>
              <w:t>-0.00</w:t>
            </w:r>
          </w:p>
        </w:tc>
        <w:tc>
          <w:tcPr>
            <w:tcW w:type="dxa" w:w="1701"/>
          </w:tcPr>
          <w:p>
            <w:r>
              <w:rPr>
                <w:rFonts w:ascii="Aptos" w:hAnsi="Aptos"/>
                <w:sz w:val="20"/>
              </w:rPr>
              <w:t>+0.05</w:t>
            </w:r>
          </w:p>
        </w:tc>
        <w:tc>
          <w:tcPr>
            <w:tcW w:type="dxa" w:w="1984"/>
          </w:tcPr>
          <w:p>
            <w:r>
              <w:rPr>
                <w:rFonts w:ascii="Aptos" w:hAnsi="Aptos"/>
                <w:sz w:val="20"/>
              </w:rPr>
              <w:t>+0.05</w:t>
            </w:r>
          </w:p>
        </w:tc>
      </w:tr>
      <w:tr>
        <w:tc>
          <w:tcPr>
            <w:tcW w:type="dxa" w:w="3118"/>
          </w:tcPr>
          <w:p>
            <w:r>
              <w:rPr>
                <w:rFonts w:ascii="Aptos" w:hAnsi="Aptos"/>
                <w:sz w:val="20"/>
              </w:rPr>
              <w:t>Cash</w:t>
            </w:r>
          </w:p>
        </w:tc>
        <w:tc>
          <w:tcPr>
            <w:tcW w:type="dxa" w:w="1984"/>
          </w:tcPr>
          <w:p>
            <w:r>
              <w:rPr>
                <w:rFonts w:ascii="Aptos" w:hAnsi="Aptos"/>
                <w:sz w:val="20"/>
              </w:rPr>
              <w:t>-0.01</w:t>
            </w:r>
          </w:p>
        </w:tc>
        <w:tc>
          <w:tcPr>
            <w:tcW w:type="dxa" w:w="1701"/>
          </w:tcPr>
          <w:p>
            <w:r>
              <w:rPr>
                <w:rFonts w:ascii="Aptos" w:hAnsi="Aptos"/>
                <w:sz w:val="20"/>
              </w:rPr>
              <w:t>+0.00</w:t>
            </w:r>
          </w:p>
        </w:tc>
        <w:tc>
          <w:tcPr>
            <w:tcW w:type="dxa" w:w="1984"/>
          </w:tcPr>
          <w:p>
            <w:r>
              <w:rPr>
                <w:rFonts w:ascii="Aptos" w:hAnsi="Aptos"/>
                <w:sz w:val="20"/>
              </w:rPr>
              <w:t>-0.01</w:t>
            </w:r>
          </w:p>
        </w:tc>
      </w:tr>
      <w:tr>
        <w:tc>
          <w:tcPr>
            <w:tcW w:type="dxa" w:w="3118"/>
          </w:tcPr>
          <w:p>
            <w:r>
              <w:rPr>
                <w:rFonts w:ascii="Aptos" w:hAnsi="Aptos"/>
                <w:sz w:val="20"/>
              </w:rPr>
              <w:t>Consumer Staples</w:t>
            </w:r>
          </w:p>
        </w:tc>
        <w:tc>
          <w:tcPr>
            <w:tcW w:type="dxa" w:w="1984"/>
          </w:tcPr>
          <w:p>
            <w:r>
              <w:rPr>
                <w:rFonts w:ascii="Aptos" w:hAnsi="Aptos"/>
                <w:sz w:val="20"/>
              </w:rPr>
              <w:t>+0.05</w:t>
            </w:r>
          </w:p>
        </w:tc>
        <w:tc>
          <w:tcPr>
            <w:tcW w:type="dxa" w:w="1701"/>
          </w:tcPr>
          <w:p>
            <w:r>
              <w:rPr>
                <w:rFonts w:ascii="Aptos" w:hAnsi="Aptos"/>
                <w:sz w:val="20"/>
              </w:rPr>
              <w:t>-0.08</w:t>
            </w:r>
          </w:p>
        </w:tc>
        <w:tc>
          <w:tcPr>
            <w:tcW w:type="dxa" w:w="1984"/>
          </w:tcPr>
          <w:p>
            <w:r>
              <w:rPr>
                <w:rFonts w:ascii="Aptos" w:hAnsi="Aptos"/>
                <w:sz w:val="20"/>
              </w:rPr>
              <w:t>-0.04</w:t>
            </w:r>
          </w:p>
        </w:tc>
      </w:tr>
      <w:tr>
        <w:tc>
          <w:tcPr>
            <w:tcW w:type="dxa" w:w="3118"/>
          </w:tcPr>
          <w:p>
            <w:r>
              <w:rPr>
                <w:rFonts w:ascii="Aptos" w:hAnsi="Aptos"/>
                <w:sz w:val="20"/>
              </w:rPr>
              <w:t>Communication Services</w:t>
            </w:r>
          </w:p>
        </w:tc>
        <w:tc>
          <w:tcPr>
            <w:tcW w:type="dxa" w:w="1984"/>
          </w:tcPr>
          <w:p>
            <w:r>
              <w:rPr>
                <w:rFonts w:ascii="Aptos" w:hAnsi="Aptos"/>
                <w:sz w:val="20"/>
              </w:rPr>
              <w:t>+0.08</w:t>
            </w:r>
          </w:p>
        </w:tc>
        <w:tc>
          <w:tcPr>
            <w:tcW w:type="dxa" w:w="1701"/>
          </w:tcPr>
          <w:p>
            <w:r>
              <w:rPr>
                <w:rFonts w:ascii="Aptos" w:hAnsi="Aptos"/>
                <w:sz w:val="20"/>
              </w:rPr>
              <w:t>-0.12</w:t>
            </w:r>
          </w:p>
        </w:tc>
        <w:tc>
          <w:tcPr>
            <w:tcW w:type="dxa" w:w="1984"/>
          </w:tcPr>
          <w:p>
            <w:r>
              <w:rPr>
                <w:rFonts w:ascii="Aptos" w:hAnsi="Aptos"/>
                <w:sz w:val="20"/>
              </w:rPr>
              <w:t>-0.04</w:t>
            </w:r>
          </w:p>
        </w:tc>
      </w:tr>
      <w:tr>
        <w:tc>
          <w:tcPr>
            <w:tcW w:type="dxa" w:w="3118"/>
          </w:tcPr>
          <w:p>
            <w:r>
              <w:rPr>
                <w:rFonts w:ascii="Aptos" w:hAnsi="Aptos"/>
                <w:sz w:val="20"/>
              </w:rPr>
              <w:t>Energy</w:t>
            </w:r>
          </w:p>
        </w:tc>
        <w:tc>
          <w:tcPr>
            <w:tcW w:type="dxa" w:w="1984"/>
          </w:tcPr>
          <w:p>
            <w:r>
              <w:rPr>
                <w:rFonts w:ascii="Aptos" w:hAnsi="Aptos"/>
                <w:sz w:val="20"/>
              </w:rPr>
              <w:t>+0.02</w:t>
            </w:r>
          </w:p>
        </w:tc>
        <w:tc>
          <w:tcPr>
            <w:tcW w:type="dxa" w:w="1701"/>
          </w:tcPr>
          <w:p>
            <w:r>
              <w:rPr>
                <w:rFonts w:ascii="Aptos" w:hAnsi="Aptos"/>
                <w:sz w:val="20"/>
              </w:rPr>
              <w:t>-0.11</w:t>
            </w:r>
          </w:p>
        </w:tc>
        <w:tc>
          <w:tcPr>
            <w:tcW w:type="dxa" w:w="1984"/>
          </w:tcPr>
          <w:p>
            <w:r>
              <w:rPr>
                <w:rFonts w:ascii="Aptos" w:hAnsi="Aptos"/>
                <w:sz w:val="20"/>
              </w:rPr>
              <w:t>-0.09</w:t>
            </w:r>
          </w:p>
        </w:tc>
      </w:tr>
      <w:tr>
        <w:tc>
          <w:tcPr>
            <w:tcW w:type="dxa" w:w="3118"/>
          </w:tcPr>
          <w:p>
            <w:r>
              <w:rPr>
                <w:rFonts w:ascii="Aptos" w:hAnsi="Aptos"/>
                <w:sz w:val="20"/>
              </w:rPr>
              <w:t>Consumer Discretionary</w:t>
            </w:r>
          </w:p>
        </w:tc>
        <w:tc>
          <w:tcPr>
            <w:tcW w:type="dxa" w:w="1984"/>
          </w:tcPr>
          <w:p>
            <w:r>
              <w:rPr>
                <w:rFonts w:ascii="Aptos" w:hAnsi="Aptos"/>
                <w:sz w:val="20"/>
              </w:rPr>
              <w:t>+0.05</w:t>
            </w:r>
          </w:p>
        </w:tc>
        <w:tc>
          <w:tcPr>
            <w:tcW w:type="dxa" w:w="1701"/>
          </w:tcPr>
          <w:p>
            <w:r>
              <w:rPr>
                <w:rFonts w:ascii="Aptos" w:hAnsi="Aptos"/>
                <w:sz w:val="20"/>
              </w:rPr>
              <w:t>-0.33</w:t>
            </w:r>
          </w:p>
        </w:tc>
        <w:tc>
          <w:tcPr>
            <w:tcW w:type="dxa" w:w="1984"/>
          </w:tcPr>
          <w:p>
            <w:r>
              <w:rPr>
                <w:rFonts w:ascii="Aptos" w:hAnsi="Aptos"/>
                <w:sz w:val="20"/>
              </w:rPr>
              <w:t>-0.28</w:t>
            </w:r>
          </w:p>
        </w:tc>
      </w:tr>
      <w:tr>
        <w:tc>
          <w:tcPr>
            <w:tcW w:type="dxa" w:w="3118"/>
          </w:tcPr>
          <w:p>
            <w:r>
              <w:rPr>
                <w:rFonts w:ascii="Aptos" w:hAnsi="Aptos"/>
                <w:sz w:val="20"/>
              </w:rPr>
              <w:t>Industrials</w:t>
            </w:r>
          </w:p>
        </w:tc>
        <w:tc>
          <w:tcPr>
            <w:tcW w:type="dxa" w:w="1984"/>
          </w:tcPr>
          <w:p>
            <w:r>
              <w:rPr>
                <w:rFonts w:ascii="Aptos" w:hAnsi="Aptos"/>
                <w:sz w:val="20"/>
              </w:rPr>
              <w:t>-0.15</w:t>
            </w:r>
          </w:p>
        </w:tc>
        <w:tc>
          <w:tcPr>
            <w:tcW w:type="dxa" w:w="1701"/>
          </w:tcPr>
          <w:p>
            <w:r>
              <w:rPr>
                <w:rFonts w:ascii="Aptos" w:hAnsi="Aptos"/>
                <w:sz w:val="20"/>
              </w:rPr>
              <w:t>-0.44</w:t>
            </w:r>
          </w:p>
        </w:tc>
        <w:tc>
          <w:tcPr>
            <w:tcW w:type="dxa" w:w="1984"/>
          </w:tcPr>
          <w:p>
            <w:r>
              <w:rPr>
                <w:rFonts w:ascii="Aptos" w:hAnsi="Aptos"/>
                <w:sz w:val="20"/>
              </w:rPr>
              <w:t>-0.58</w:t>
            </w:r>
          </w:p>
        </w:tc>
      </w:tr>
      <w:tr>
        <w:tc>
          <w:tcPr>
            <w:tcW w:type="dxa" w:w="3118"/>
          </w:tcPr>
          <w:p>
            <w:r>
              <w:rPr>
                <w:rFonts w:ascii="Aptos" w:hAnsi="Aptos"/>
                <w:sz w:val="20"/>
              </w:rPr>
              <w:t>Information Technology</w:t>
            </w:r>
          </w:p>
        </w:tc>
        <w:tc>
          <w:tcPr>
            <w:tcW w:type="dxa" w:w="1984"/>
          </w:tcPr>
          <w:p>
            <w:r>
              <w:rPr>
                <w:rFonts w:ascii="Aptos" w:hAnsi="Aptos"/>
                <w:sz w:val="20"/>
              </w:rPr>
              <w:t>-0.18</w:t>
            </w:r>
          </w:p>
        </w:tc>
        <w:tc>
          <w:tcPr>
            <w:tcW w:type="dxa" w:w="1701"/>
          </w:tcPr>
          <w:p>
            <w:r>
              <w:rPr>
                <w:rFonts w:ascii="Aptos" w:hAnsi="Aptos"/>
                <w:sz w:val="20"/>
              </w:rPr>
              <w:t>-0.65</w:t>
            </w:r>
          </w:p>
        </w:tc>
        <w:tc>
          <w:tcPr>
            <w:tcW w:type="dxa" w:w="1984"/>
          </w:tcPr>
          <w:p>
            <w:r>
              <w:rPr>
                <w:rFonts w:ascii="Aptos" w:hAnsi="Aptos"/>
                <w:sz w:val="20"/>
              </w:rPr>
              <w:t>-0.83</w:t>
            </w:r>
          </w:p>
        </w:tc>
      </w:tr>
    </w:tbl>
    <w:p/>
    <w:p>
      <w:pPr>
        <w:pStyle w:val="Heading1"/>
      </w:pPr>
      <w:r>
        <w:rPr>
          <w:rFonts w:ascii="Aptos" w:hAnsi="Aptos"/>
          <w:color w:val="1A2E3B"/>
        </w:rPr>
        <w:t>Positioning</w:t>
      </w:r>
    </w:p>
    <w:tbl>
      <w:tblGrid>
        <w:gridCol w:w="3118"/>
        <w:gridCol w:w="1701"/>
        <w:gridCol w:w="1984"/>
        <w:gridCol w:w="1701"/>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Sector</w:t>
            </w:r>
          </w:p>
        </w:tc>
        <w:tc>
          <w:tcPr>
            <w:tcW w:type="dxa" w:w="1701"/>
            <w:shd w:val="clear" w:color="auto" w:fill="E8EEEC"/>
          </w:tcPr>
          <w:p>
            <w:pPr>
              <w:jc w:val="left"/>
            </w:pPr>
            <w:r>
              <w:rPr>
                <w:rFonts w:ascii="Aptos" w:hAnsi="Aptos"/>
                <w:b/>
                <w:color w:val="1A2E3B"/>
                <w:sz w:val="20"/>
              </w:rPr>
              <w:t>Fund (%)</w:t>
            </w:r>
          </w:p>
        </w:tc>
        <w:tc>
          <w:tcPr>
            <w:tcW w:type="dxa" w:w="1984"/>
            <w:shd w:val="clear" w:color="auto" w:fill="E8EEEC"/>
          </w:tcPr>
          <w:p>
            <w:pPr>
              <w:jc w:val="left"/>
            </w:pPr>
            <w:r>
              <w:rPr>
                <w:rFonts w:ascii="Aptos" w:hAnsi="Aptos"/>
                <w:b/>
                <w:color w:val="1A2E3B"/>
                <w:sz w:val="20"/>
              </w:rPr>
              <w:t>Benchmark (%)</w:t>
            </w:r>
          </w:p>
        </w:tc>
        <w:tc>
          <w:tcPr>
            <w:tcW w:type="dxa" w:w="1701"/>
            <w:shd w:val="clear" w:color="auto" w:fill="E8EEEC"/>
          </w:tcPr>
          <w:p>
            <w:pPr>
              <w:jc w:val="left"/>
            </w:pPr>
            <w:r>
              <w:rPr>
                <w:rFonts w:ascii="Aptos" w:hAnsi="Aptos"/>
                <w:b/>
                <w:color w:val="1A2E3B"/>
                <w:sz w:val="20"/>
              </w:rPr>
              <w:t>Active (%)</w:t>
            </w:r>
          </w:p>
        </w:tc>
      </w:tr>
      <w:tr>
        <w:tc>
          <w:tcPr>
            <w:tcW w:type="dxa" w:w="3118"/>
          </w:tcPr>
          <w:p>
            <w:r>
              <w:rPr>
                <w:rFonts w:ascii="Aptos" w:hAnsi="Aptos"/>
                <w:sz w:val="20"/>
              </w:rPr>
              <w:t>Utilities</w:t>
            </w:r>
          </w:p>
        </w:tc>
        <w:tc>
          <w:tcPr>
            <w:tcW w:type="dxa" w:w="1701"/>
          </w:tcPr>
          <w:p>
            <w:r>
              <w:rPr>
                <w:rFonts w:ascii="Aptos" w:hAnsi="Aptos"/>
                <w:sz w:val="20"/>
              </w:rPr>
              <w:t>0.0</w:t>
            </w:r>
          </w:p>
        </w:tc>
        <w:tc>
          <w:tcPr>
            <w:tcW w:type="dxa" w:w="1984"/>
          </w:tcPr>
          <w:p>
            <w:r>
              <w:rPr>
                <w:rFonts w:ascii="Aptos" w:hAnsi="Aptos"/>
                <w:sz w:val="20"/>
              </w:rPr>
              <w:t>2.5</w:t>
            </w:r>
          </w:p>
        </w:tc>
        <w:tc>
          <w:tcPr>
            <w:tcW w:type="dxa" w:w="1701"/>
          </w:tcPr>
          <w:p>
            <w:r>
              <w:rPr>
                <w:rFonts w:ascii="Aptos" w:hAnsi="Aptos"/>
                <w:sz w:val="20"/>
              </w:rPr>
              <w:t>-2.5</w:t>
            </w:r>
          </w:p>
        </w:tc>
      </w:tr>
      <w:tr>
        <w:tc>
          <w:tcPr>
            <w:tcW w:type="dxa" w:w="3118"/>
          </w:tcPr>
          <w:p>
            <w:r>
              <w:rPr>
                <w:rFonts w:ascii="Aptos" w:hAnsi="Aptos"/>
                <w:sz w:val="20"/>
              </w:rPr>
              <w:t>Financials</w:t>
            </w:r>
          </w:p>
        </w:tc>
        <w:tc>
          <w:tcPr>
            <w:tcW w:type="dxa" w:w="1701"/>
          </w:tcPr>
          <w:p>
            <w:r>
              <w:rPr>
                <w:rFonts w:ascii="Aptos" w:hAnsi="Aptos"/>
                <w:sz w:val="20"/>
              </w:rPr>
              <w:t>24.8</w:t>
            </w:r>
          </w:p>
        </w:tc>
        <w:tc>
          <w:tcPr>
            <w:tcW w:type="dxa" w:w="1984"/>
          </w:tcPr>
          <w:p>
            <w:r>
              <w:rPr>
                <w:rFonts w:ascii="Aptos" w:hAnsi="Aptos"/>
                <w:sz w:val="20"/>
              </w:rPr>
              <w:t>16.6</w:t>
            </w:r>
          </w:p>
        </w:tc>
        <w:tc>
          <w:tcPr>
            <w:tcW w:type="dxa" w:w="1701"/>
          </w:tcPr>
          <w:p>
            <w:r>
              <w:rPr>
                <w:rFonts w:ascii="Aptos" w:hAnsi="Aptos"/>
                <w:sz w:val="20"/>
              </w:rPr>
              <w:t>+8.3</w:t>
            </w:r>
          </w:p>
        </w:tc>
      </w:tr>
      <w:tr>
        <w:tc>
          <w:tcPr>
            <w:tcW w:type="dxa" w:w="3118"/>
          </w:tcPr>
          <w:p>
            <w:r>
              <w:rPr>
                <w:rFonts w:ascii="Aptos" w:hAnsi="Aptos"/>
                <w:sz w:val="20"/>
              </w:rPr>
              <w:t>Real Estate</w:t>
            </w:r>
          </w:p>
        </w:tc>
        <w:tc>
          <w:tcPr>
            <w:tcW w:type="dxa" w:w="1701"/>
          </w:tcPr>
          <w:p>
            <w:r>
              <w:rPr>
                <w:rFonts w:ascii="Aptos" w:hAnsi="Aptos"/>
                <w:sz w:val="20"/>
              </w:rPr>
              <w:t>0.0</w:t>
            </w:r>
          </w:p>
        </w:tc>
        <w:tc>
          <w:tcPr>
            <w:tcW w:type="dxa" w:w="1984"/>
          </w:tcPr>
          <w:p>
            <w:r>
              <w:rPr>
                <w:rFonts w:ascii="Aptos" w:hAnsi="Aptos"/>
                <w:sz w:val="20"/>
              </w:rPr>
              <w:t>1.7</w:t>
            </w:r>
          </w:p>
        </w:tc>
        <w:tc>
          <w:tcPr>
            <w:tcW w:type="dxa" w:w="1701"/>
          </w:tcPr>
          <w:p>
            <w:r>
              <w:rPr>
                <w:rFonts w:ascii="Aptos" w:hAnsi="Aptos"/>
                <w:sz w:val="20"/>
              </w:rPr>
              <w:t>-1.7</w:t>
            </w:r>
          </w:p>
        </w:tc>
      </w:tr>
      <w:tr>
        <w:tc>
          <w:tcPr>
            <w:tcW w:type="dxa" w:w="3118"/>
          </w:tcPr>
          <w:p>
            <w:r>
              <w:rPr>
                <w:rFonts w:ascii="Aptos" w:hAnsi="Aptos"/>
                <w:sz w:val="20"/>
              </w:rPr>
              <w:t>Health Care</w:t>
            </w:r>
          </w:p>
        </w:tc>
        <w:tc>
          <w:tcPr>
            <w:tcW w:type="dxa" w:w="1701"/>
          </w:tcPr>
          <w:p>
            <w:r>
              <w:rPr>
                <w:rFonts w:ascii="Aptos" w:hAnsi="Aptos"/>
                <w:sz w:val="20"/>
              </w:rPr>
              <w:t>10.5</w:t>
            </w:r>
          </w:p>
        </w:tc>
        <w:tc>
          <w:tcPr>
            <w:tcW w:type="dxa" w:w="1984"/>
          </w:tcPr>
          <w:p>
            <w:r>
              <w:rPr>
                <w:rFonts w:ascii="Aptos" w:hAnsi="Aptos"/>
                <w:sz w:val="20"/>
              </w:rPr>
              <w:t>9.2</w:t>
            </w:r>
          </w:p>
        </w:tc>
        <w:tc>
          <w:tcPr>
            <w:tcW w:type="dxa" w:w="1701"/>
          </w:tcPr>
          <w:p>
            <w:r>
              <w:rPr>
                <w:rFonts w:ascii="Aptos" w:hAnsi="Aptos"/>
                <w:sz w:val="20"/>
              </w:rPr>
              <w:t>+1.3</w:t>
            </w:r>
          </w:p>
        </w:tc>
      </w:tr>
      <w:tr>
        <w:tc>
          <w:tcPr>
            <w:tcW w:type="dxa" w:w="3118"/>
          </w:tcPr>
          <w:p>
            <w:r>
              <w:rPr>
                <w:rFonts w:ascii="Aptos" w:hAnsi="Aptos"/>
                <w:sz w:val="20"/>
              </w:rPr>
              <w:t>Materials</w:t>
            </w:r>
          </w:p>
        </w:tc>
        <w:tc>
          <w:tcPr>
            <w:tcW w:type="dxa" w:w="1701"/>
          </w:tcPr>
          <w:p>
            <w:r>
              <w:rPr>
                <w:rFonts w:ascii="Aptos" w:hAnsi="Aptos"/>
                <w:sz w:val="20"/>
              </w:rPr>
              <w:t>3.2</w:t>
            </w:r>
          </w:p>
        </w:tc>
        <w:tc>
          <w:tcPr>
            <w:tcW w:type="dxa" w:w="1984"/>
          </w:tcPr>
          <w:p>
            <w:r>
              <w:rPr>
                <w:rFonts w:ascii="Aptos" w:hAnsi="Aptos"/>
                <w:sz w:val="20"/>
              </w:rPr>
              <w:t>3.4</w:t>
            </w:r>
          </w:p>
        </w:tc>
        <w:tc>
          <w:tcPr>
            <w:tcW w:type="dxa" w:w="1701"/>
          </w:tcPr>
          <w:p>
            <w:r>
              <w:rPr>
                <w:rFonts w:ascii="Aptos" w:hAnsi="Aptos"/>
                <w:sz w:val="20"/>
              </w:rPr>
              <w:t>-0.2</w:t>
            </w:r>
          </w:p>
        </w:tc>
      </w:tr>
      <w:tr>
        <w:tc>
          <w:tcPr>
            <w:tcW w:type="dxa" w:w="3118"/>
          </w:tcPr>
          <w:p>
            <w:r>
              <w:rPr>
                <w:rFonts w:ascii="Aptos" w:hAnsi="Aptos"/>
                <w:sz w:val="20"/>
              </w:rPr>
              <w:t>Cash</w:t>
            </w:r>
          </w:p>
        </w:tc>
        <w:tc>
          <w:tcPr>
            <w:tcW w:type="dxa" w:w="1701"/>
          </w:tcPr>
          <w:p>
            <w:r>
              <w:rPr>
                <w:rFonts w:ascii="Aptos" w:hAnsi="Aptos"/>
                <w:sz w:val="20"/>
              </w:rPr>
              <w:t>0.7</w:t>
            </w:r>
          </w:p>
        </w:tc>
        <w:tc>
          <w:tcPr>
            <w:tcW w:type="dxa" w:w="1984"/>
          </w:tcPr>
          <w:p>
            <w:r>
              <w:rPr>
                <w:rFonts w:ascii="Aptos" w:hAnsi="Aptos"/>
                <w:sz w:val="20"/>
              </w:rPr>
              <w:t>0.0</w:t>
            </w:r>
          </w:p>
        </w:tc>
        <w:tc>
          <w:tcPr>
            <w:tcW w:type="dxa" w:w="1701"/>
          </w:tcPr>
          <w:p>
            <w:r>
              <w:rPr>
                <w:rFonts w:ascii="Aptos" w:hAnsi="Aptos"/>
                <w:sz w:val="20"/>
              </w:rPr>
              <w:t>+0.7</w:t>
            </w:r>
          </w:p>
        </w:tc>
      </w:tr>
      <w:tr>
        <w:tc>
          <w:tcPr>
            <w:tcW w:type="dxa" w:w="3118"/>
          </w:tcPr>
          <w:p>
            <w:r>
              <w:rPr>
                <w:rFonts w:ascii="Aptos" w:hAnsi="Aptos"/>
                <w:sz w:val="20"/>
              </w:rPr>
              <w:t>Consumer Staples</w:t>
            </w:r>
          </w:p>
        </w:tc>
        <w:tc>
          <w:tcPr>
            <w:tcW w:type="dxa" w:w="1701"/>
          </w:tcPr>
          <w:p>
            <w:r>
              <w:rPr>
                <w:rFonts w:ascii="Aptos" w:hAnsi="Aptos"/>
                <w:sz w:val="20"/>
              </w:rPr>
              <w:t>3.7</w:t>
            </w:r>
          </w:p>
        </w:tc>
        <w:tc>
          <w:tcPr>
            <w:tcW w:type="dxa" w:w="1984"/>
          </w:tcPr>
          <w:p>
            <w:r>
              <w:rPr>
                <w:rFonts w:ascii="Aptos" w:hAnsi="Aptos"/>
                <w:sz w:val="20"/>
              </w:rPr>
              <w:t>5.0</w:t>
            </w:r>
          </w:p>
        </w:tc>
        <w:tc>
          <w:tcPr>
            <w:tcW w:type="dxa" w:w="1701"/>
          </w:tcPr>
          <w:p>
            <w:r>
              <w:rPr>
                <w:rFonts w:ascii="Aptos" w:hAnsi="Aptos"/>
                <w:sz w:val="20"/>
              </w:rPr>
              <w:t>-1.3</w:t>
            </w:r>
          </w:p>
        </w:tc>
      </w:tr>
      <w:tr>
        <w:tc>
          <w:tcPr>
            <w:tcW w:type="dxa" w:w="3118"/>
          </w:tcPr>
          <w:p>
            <w:r>
              <w:rPr>
                <w:rFonts w:ascii="Aptos" w:hAnsi="Aptos"/>
                <w:sz w:val="20"/>
              </w:rPr>
              <w:t>Communication Services</w:t>
            </w:r>
          </w:p>
        </w:tc>
        <w:tc>
          <w:tcPr>
            <w:tcW w:type="dxa" w:w="1701"/>
          </w:tcPr>
          <w:p>
            <w:r>
              <w:rPr>
                <w:rFonts w:ascii="Aptos" w:hAnsi="Aptos"/>
                <w:sz w:val="20"/>
              </w:rPr>
              <w:t>4.5</w:t>
            </w:r>
          </w:p>
        </w:tc>
        <w:tc>
          <w:tcPr>
            <w:tcW w:type="dxa" w:w="1984"/>
          </w:tcPr>
          <w:p>
            <w:r>
              <w:rPr>
                <w:rFonts w:ascii="Aptos" w:hAnsi="Aptos"/>
                <w:sz w:val="20"/>
              </w:rPr>
              <w:t>8.0</w:t>
            </w:r>
          </w:p>
        </w:tc>
        <w:tc>
          <w:tcPr>
            <w:tcW w:type="dxa" w:w="1701"/>
          </w:tcPr>
          <w:p>
            <w:r>
              <w:rPr>
                <w:rFonts w:ascii="Aptos" w:hAnsi="Aptos"/>
                <w:sz w:val="20"/>
              </w:rPr>
              <w:t>-3.5</w:t>
            </w:r>
          </w:p>
        </w:tc>
      </w:tr>
      <w:tr>
        <w:tc>
          <w:tcPr>
            <w:tcW w:type="dxa" w:w="3118"/>
          </w:tcPr>
          <w:p>
            <w:r>
              <w:rPr>
                <w:rFonts w:ascii="Aptos" w:hAnsi="Aptos"/>
                <w:sz w:val="20"/>
              </w:rPr>
              <w:t>Energy</w:t>
            </w:r>
          </w:p>
        </w:tc>
        <w:tc>
          <w:tcPr>
            <w:tcW w:type="dxa" w:w="1701"/>
          </w:tcPr>
          <w:p>
            <w:r>
              <w:rPr>
                <w:rFonts w:ascii="Aptos" w:hAnsi="Aptos"/>
                <w:sz w:val="20"/>
              </w:rPr>
              <w:t>5.2</w:t>
            </w:r>
          </w:p>
        </w:tc>
        <w:tc>
          <w:tcPr>
            <w:tcW w:type="dxa" w:w="1984"/>
          </w:tcPr>
          <w:p>
            <w:r>
              <w:rPr>
                <w:rFonts w:ascii="Aptos" w:hAnsi="Aptos"/>
                <w:sz w:val="20"/>
              </w:rPr>
              <w:t>4.0</w:t>
            </w:r>
          </w:p>
        </w:tc>
        <w:tc>
          <w:tcPr>
            <w:tcW w:type="dxa" w:w="1701"/>
          </w:tcPr>
          <w:p>
            <w:r>
              <w:rPr>
                <w:rFonts w:ascii="Aptos" w:hAnsi="Aptos"/>
                <w:sz w:val="20"/>
              </w:rPr>
              <w:t>+1.2</w:t>
            </w:r>
          </w:p>
        </w:tc>
      </w:tr>
      <w:tr>
        <w:tc>
          <w:tcPr>
            <w:tcW w:type="dxa" w:w="3118"/>
          </w:tcPr>
          <w:p>
            <w:r>
              <w:rPr>
                <w:rFonts w:ascii="Aptos" w:hAnsi="Aptos"/>
                <w:sz w:val="20"/>
              </w:rPr>
              <w:t>Consumer Discretionary</w:t>
            </w:r>
          </w:p>
        </w:tc>
        <w:tc>
          <w:tcPr>
            <w:tcW w:type="dxa" w:w="1701"/>
          </w:tcPr>
          <w:p>
            <w:r>
              <w:rPr>
                <w:rFonts w:ascii="Aptos" w:hAnsi="Aptos"/>
                <w:sz w:val="20"/>
              </w:rPr>
              <w:t>7.1</w:t>
            </w:r>
          </w:p>
        </w:tc>
        <w:tc>
          <w:tcPr>
            <w:tcW w:type="dxa" w:w="1984"/>
          </w:tcPr>
          <w:p>
            <w:r>
              <w:rPr>
                <w:rFonts w:ascii="Aptos" w:hAnsi="Aptos"/>
                <w:sz w:val="20"/>
              </w:rPr>
              <w:t>8.9</w:t>
            </w:r>
          </w:p>
        </w:tc>
        <w:tc>
          <w:tcPr>
            <w:tcW w:type="dxa" w:w="1701"/>
          </w:tcPr>
          <w:p>
            <w:r>
              <w:rPr>
                <w:rFonts w:ascii="Aptos" w:hAnsi="Aptos"/>
                <w:sz w:val="20"/>
              </w:rPr>
              <w:t>-1.8</w:t>
            </w:r>
          </w:p>
        </w:tc>
      </w:tr>
      <w:tr>
        <w:tc>
          <w:tcPr>
            <w:tcW w:type="dxa" w:w="3118"/>
          </w:tcPr>
          <w:p>
            <w:r>
              <w:rPr>
                <w:rFonts w:ascii="Aptos" w:hAnsi="Aptos"/>
                <w:sz w:val="20"/>
              </w:rPr>
              <w:t>Industrials</w:t>
            </w:r>
          </w:p>
        </w:tc>
        <w:tc>
          <w:tcPr>
            <w:tcW w:type="dxa" w:w="1701"/>
          </w:tcPr>
          <w:p>
            <w:r>
              <w:rPr>
                <w:rFonts w:ascii="Aptos" w:hAnsi="Aptos"/>
                <w:sz w:val="20"/>
              </w:rPr>
              <w:t>16.0</w:t>
            </w:r>
          </w:p>
        </w:tc>
        <w:tc>
          <w:tcPr>
            <w:tcW w:type="dxa" w:w="1984"/>
          </w:tcPr>
          <w:p>
            <w:r>
              <w:rPr>
                <w:rFonts w:ascii="Aptos" w:hAnsi="Aptos"/>
                <w:sz w:val="20"/>
              </w:rPr>
              <w:t>11.4</w:t>
            </w:r>
          </w:p>
        </w:tc>
        <w:tc>
          <w:tcPr>
            <w:tcW w:type="dxa" w:w="1701"/>
          </w:tcPr>
          <w:p>
            <w:r>
              <w:rPr>
                <w:rFonts w:ascii="Aptos" w:hAnsi="Aptos"/>
                <w:sz w:val="20"/>
              </w:rPr>
              <w:t>+4.5</w:t>
            </w:r>
          </w:p>
        </w:tc>
      </w:tr>
      <w:tr>
        <w:tc>
          <w:tcPr>
            <w:tcW w:type="dxa" w:w="3118"/>
          </w:tcPr>
          <w:p>
            <w:r>
              <w:rPr>
                <w:rFonts w:ascii="Aptos" w:hAnsi="Aptos"/>
                <w:sz w:val="20"/>
              </w:rPr>
              <w:t>Information Technology</w:t>
            </w:r>
          </w:p>
        </w:tc>
        <w:tc>
          <w:tcPr>
            <w:tcW w:type="dxa" w:w="1701"/>
          </w:tcPr>
          <w:p>
            <w:r>
              <w:rPr>
                <w:rFonts w:ascii="Aptos" w:hAnsi="Aptos"/>
                <w:sz w:val="20"/>
              </w:rPr>
              <w:t>24.4</w:t>
            </w:r>
          </w:p>
        </w:tc>
        <w:tc>
          <w:tcPr>
            <w:tcW w:type="dxa" w:w="1984"/>
          </w:tcPr>
          <w:p>
            <w:r>
              <w:rPr>
                <w:rFonts w:ascii="Aptos" w:hAnsi="Aptos"/>
                <w:sz w:val="20"/>
              </w:rPr>
              <w:t>29.5</w:t>
            </w:r>
          </w:p>
        </w:tc>
        <w:tc>
          <w:tcPr>
            <w:tcW w:type="dxa" w:w="1701"/>
          </w:tcPr>
          <w:p>
            <w:r>
              <w:rPr>
                <w:rFonts w:ascii="Aptos" w:hAnsi="Aptos"/>
                <w:sz w:val="20"/>
              </w:rPr>
              <w:t>-5.1</w:t>
            </w:r>
          </w:p>
        </w:tc>
      </w:tr>
    </w:tbl>
    <w:p/>
    <w:p>
      <w:pPr>
        <w:pStyle w:val="Heading1"/>
      </w:pPr>
      <w:r>
        <w:rPr>
          <w:rFonts w:ascii="Aptos" w:hAnsi="Aptos"/>
          <w:color w:val="1A2E3B"/>
        </w:rPr>
        <w:t>Attribution by country</w:t>
      </w:r>
    </w:p>
    <w:tbl>
      <w:tblGrid>
        <w:gridCol w:w="3118"/>
        <w:gridCol w:w="1984"/>
        <w:gridCol w:w="1701"/>
        <w:gridCol w:w="1984"/>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Country</w:t>
            </w:r>
          </w:p>
        </w:tc>
        <w:tc>
          <w:tcPr>
            <w:tcW w:type="dxa" w:w="1984"/>
            <w:shd w:val="clear" w:color="auto" w:fill="E8EEEC"/>
          </w:tcPr>
          <w:p>
            <w:pPr>
              <w:jc w:val="left"/>
            </w:pPr>
            <w:r>
              <w:rPr>
                <w:rFonts w:ascii="Aptos" w:hAnsi="Aptos"/>
                <w:b/>
                <w:color w:val="1A2E3B"/>
                <w:sz w:val="20"/>
              </w:rPr>
              <w:t>Allocation (%)</w:t>
            </w:r>
          </w:p>
        </w:tc>
        <w:tc>
          <w:tcPr>
            <w:tcW w:type="dxa" w:w="1701"/>
            <w:shd w:val="clear" w:color="auto" w:fill="E8EEEC"/>
          </w:tcPr>
          <w:p>
            <w:pPr>
              <w:jc w:val="left"/>
            </w:pPr>
            <w:r>
              <w:rPr>
                <w:rFonts w:ascii="Aptos" w:hAnsi="Aptos"/>
                <w:b/>
                <w:color w:val="1A2E3B"/>
                <w:sz w:val="20"/>
              </w:rPr>
              <w:t>Selection (%)</w:t>
            </w:r>
          </w:p>
        </w:tc>
        <w:tc>
          <w:tcPr>
            <w:tcW w:type="dxa" w:w="1984"/>
            <w:shd w:val="clear" w:color="auto" w:fill="E8EEEC"/>
          </w:tcPr>
          <w:p>
            <w:pPr>
              <w:jc w:val="left"/>
            </w:pPr>
            <w:r>
              <w:rPr>
                <w:rFonts w:ascii="Aptos" w:hAnsi="Aptos"/>
                <w:b/>
                <w:color w:val="1A2E3B"/>
                <w:sz w:val="20"/>
              </w:rPr>
              <w:t>Total effect (%)</w:t>
            </w:r>
          </w:p>
        </w:tc>
      </w:tr>
      <w:tr>
        <w:tc>
          <w:tcPr>
            <w:tcW w:type="dxa" w:w="3118"/>
          </w:tcPr>
          <w:p>
            <w:r>
              <w:rPr>
                <w:rFonts w:ascii="Aptos" w:hAnsi="Aptos"/>
                <w:sz w:val="20"/>
              </w:rPr>
              <w:t>United States</w:t>
            </w:r>
          </w:p>
        </w:tc>
        <w:tc>
          <w:tcPr>
            <w:tcW w:type="dxa" w:w="1984"/>
          </w:tcPr>
          <w:p>
            <w:r>
              <w:rPr>
                <w:rFonts w:ascii="Aptos" w:hAnsi="Aptos"/>
                <w:sz w:val="20"/>
              </w:rPr>
              <w:t>-0.02</w:t>
            </w:r>
          </w:p>
        </w:tc>
        <w:tc>
          <w:tcPr>
            <w:tcW w:type="dxa" w:w="1701"/>
          </w:tcPr>
          <w:p>
            <w:r>
              <w:rPr>
                <w:rFonts w:ascii="Aptos" w:hAnsi="Aptos"/>
                <w:sz w:val="20"/>
              </w:rPr>
              <w:t>-1.12</w:t>
            </w:r>
          </w:p>
        </w:tc>
        <w:tc>
          <w:tcPr>
            <w:tcW w:type="dxa" w:w="1984"/>
          </w:tcPr>
          <w:p>
            <w:r>
              <w:rPr>
                <w:rFonts w:ascii="Aptos" w:hAnsi="Aptos"/>
                <w:sz w:val="20"/>
              </w:rPr>
              <w:t>-1.14</w:t>
            </w:r>
          </w:p>
        </w:tc>
      </w:tr>
      <w:tr>
        <w:tc>
          <w:tcPr>
            <w:tcW w:type="dxa" w:w="3118"/>
          </w:tcPr>
          <w:p>
            <w:r>
              <w:rPr>
                <w:rFonts w:ascii="Aptos" w:hAnsi="Aptos"/>
                <w:sz w:val="20"/>
              </w:rPr>
              <w:t>Japan</w:t>
            </w:r>
          </w:p>
        </w:tc>
        <w:tc>
          <w:tcPr>
            <w:tcW w:type="dxa" w:w="1984"/>
          </w:tcPr>
          <w:p>
            <w:r>
              <w:rPr>
                <w:rFonts w:ascii="Aptos" w:hAnsi="Aptos"/>
                <w:sz w:val="20"/>
              </w:rPr>
              <w:t>+0.02</w:t>
            </w:r>
          </w:p>
        </w:tc>
        <w:tc>
          <w:tcPr>
            <w:tcW w:type="dxa" w:w="1701"/>
          </w:tcPr>
          <w:p>
            <w:r>
              <w:rPr>
                <w:rFonts w:ascii="Aptos" w:hAnsi="Aptos"/>
                <w:sz w:val="20"/>
              </w:rPr>
              <w:t>-0.58</w:t>
            </w:r>
          </w:p>
        </w:tc>
        <w:tc>
          <w:tcPr>
            <w:tcW w:type="dxa" w:w="1984"/>
          </w:tcPr>
          <w:p>
            <w:r>
              <w:rPr>
                <w:rFonts w:ascii="Aptos" w:hAnsi="Aptos"/>
                <w:sz w:val="20"/>
              </w:rPr>
              <w:t>-0.56</w:t>
            </w:r>
          </w:p>
        </w:tc>
      </w:tr>
      <w:tr>
        <w:tc>
          <w:tcPr>
            <w:tcW w:type="dxa" w:w="3118"/>
          </w:tcPr>
          <w:p>
            <w:r>
              <w:rPr>
                <w:rFonts w:ascii="Aptos" w:hAnsi="Aptos"/>
                <w:sz w:val="20"/>
              </w:rPr>
              <w:t>Australia</w:t>
            </w:r>
          </w:p>
        </w:tc>
        <w:tc>
          <w:tcPr>
            <w:tcW w:type="dxa" w:w="1984"/>
          </w:tcPr>
          <w:p>
            <w:r>
              <w:rPr>
                <w:rFonts w:ascii="Aptos" w:hAnsi="Aptos"/>
                <w:sz w:val="20"/>
              </w:rPr>
              <w:t>+0.02</w:t>
            </w:r>
          </w:p>
        </w:tc>
        <w:tc>
          <w:tcPr>
            <w:tcW w:type="dxa" w:w="1701"/>
          </w:tcPr>
          <w:p>
            <w:r>
              <w:rPr>
                <w:rFonts w:ascii="Aptos" w:hAnsi="Aptos"/>
                <w:sz w:val="20"/>
              </w:rPr>
              <w:t>+0.25</w:t>
            </w:r>
          </w:p>
        </w:tc>
        <w:tc>
          <w:tcPr>
            <w:tcW w:type="dxa" w:w="1984"/>
          </w:tcPr>
          <w:p>
            <w:r>
              <w:rPr>
                <w:rFonts w:ascii="Aptos" w:hAnsi="Aptos"/>
                <w:sz w:val="20"/>
              </w:rPr>
              <w:t>+0.26</w:t>
            </w:r>
          </w:p>
        </w:tc>
      </w:tr>
      <w:tr>
        <w:tc>
          <w:tcPr>
            <w:tcW w:type="dxa" w:w="3118"/>
          </w:tcPr>
          <w:p>
            <w:r>
              <w:rPr>
                <w:rFonts w:ascii="Aptos" w:hAnsi="Aptos"/>
                <w:sz w:val="20"/>
              </w:rPr>
              <w:t>Germany</w:t>
            </w:r>
          </w:p>
        </w:tc>
        <w:tc>
          <w:tcPr>
            <w:tcW w:type="dxa" w:w="1984"/>
          </w:tcPr>
          <w:p>
            <w:r>
              <w:rPr>
                <w:rFonts w:ascii="Aptos" w:hAnsi="Aptos"/>
                <w:sz w:val="20"/>
              </w:rPr>
              <w:t>+0.02</w:t>
            </w:r>
          </w:p>
        </w:tc>
        <w:tc>
          <w:tcPr>
            <w:tcW w:type="dxa" w:w="1701"/>
          </w:tcPr>
          <w:p>
            <w:r>
              <w:rPr>
                <w:rFonts w:ascii="Aptos" w:hAnsi="Aptos"/>
                <w:sz w:val="20"/>
              </w:rPr>
              <w:t>+0.11</w:t>
            </w:r>
          </w:p>
        </w:tc>
        <w:tc>
          <w:tcPr>
            <w:tcW w:type="dxa" w:w="1984"/>
          </w:tcPr>
          <w:p>
            <w:r>
              <w:rPr>
                <w:rFonts w:ascii="Aptos" w:hAnsi="Aptos"/>
                <w:sz w:val="20"/>
              </w:rPr>
              <w:t>+0.13</w:t>
            </w:r>
          </w:p>
        </w:tc>
      </w:tr>
      <w:tr>
        <w:tc>
          <w:tcPr>
            <w:tcW w:type="dxa" w:w="3118"/>
          </w:tcPr>
          <w:p>
            <w:r>
              <w:rPr>
                <w:rFonts w:ascii="Aptos" w:hAnsi="Aptos"/>
                <w:sz w:val="20"/>
              </w:rPr>
              <w:t>Canada</w:t>
            </w:r>
          </w:p>
        </w:tc>
        <w:tc>
          <w:tcPr>
            <w:tcW w:type="dxa" w:w="1984"/>
          </w:tcPr>
          <w:p>
            <w:r>
              <w:rPr>
                <w:rFonts w:ascii="Aptos" w:hAnsi="Aptos"/>
                <w:sz w:val="20"/>
              </w:rPr>
              <w:t>+0.02</w:t>
            </w:r>
          </w:p>
        </w:tc>
        <w:tc>
          <w:tcPr>
            <w:tcW w:type="dxa" w:w="1701"/>
          </w:tcPr>
          <w:p>
            <w:r>
              <w:rPr>
                <w:rFonts w:ascii="Aptos" w:hAnsi="Aptos"/>
                <w:sz w:val="20"/>
              </w:rPr>
              <w:t>-0.11</w:t>
            </w:r>
          </w:p>
        </w:tc>
        <w:tc>
          <w:tcPr>
            <w:tcW w:type="dxa" w:w="1984"/>
          </w:tcPr>
          <w:p>
            <w:r>
              <w:rPr>
                <w:rFonts w:ascii="Aptos" w:hAnsi="Aptos"/>
                <w:sz w:val="20"/>
              </w:rPr>
              <w:t>-0.09</w:t>
            </w:r>
          </w:p>
        </w:tc>
      </w:tr>
      <w:tr>
        <w:tc>
          <w:tcPr>
            <w:tcW w:type="dxa" w:w="3118"/>
          </w:tcPr>
          <w:p>
            <w:r>
              <w:rPr>
                <w:rFonts w:ascii="Aptos" w:hAnsi="Aptos"/>
                <w:sz w:val="20"/>
              </w:rPr>
              <w:t>France</w:t>
            </w:r>
          </w:p>
        </w:tc>
        <w:tc>
          <w:tcPr>
            <w:tcW w:type="dxa" w:w="1984"/>
          </w:tcPr>
          <w:p>
            <w:r>
              <w:rPr>
                <w:rFonts w:ascii="Aptos" w:hAnsi="Aptos"/>
                <w:sz w:val="20"/>
              </w:rPr>
              <w:t>-0.29</w:t>
            </w:r>
          </w:p>
        </w:tc>
        <w:tc>
          <w:tcPr>
            <w:tcW w:type="dxa" w:w="1701"/>
          </w:tcPr>
          <w:p>
            <w:r>
              <w:rPr>
                <w:rFonts w:ascii="Aptos" w:hAnsi="Aptos"/>
                <w:sz w:val="20"/>
              </w:rPr>
              <w:t>+0.19</w:t>
            </w:r>
          </w:p>
        </w:tc>
        <w:tc>
          <w:tcPr>
            <w:tcW w:type="dxa" w:w="1984"/>
          </w:tcPr>
          <w:p>
            <w:r>
              <w:rPr>
                <w:rFonts w:ascii="Aptos" w:hAnsi="Aptos"/>
                <w:sz w:val="20"/>
              </w:rPr>
              <w:t>-0.09</w:t>
            </w:r>
          </w:p>
        </w:tc>
      </w:tr>
      <w:tr>
        <w:tc>
          <w:tcPr>
            <w:tcW w:type="dxa" w:w="3118"/>
          </w:tcPr>
          <w:p>
            <w:r>
              <w:rPr>
                <w:rFonts w:ascii="Aptos" w:hAnsi="Aptos"/>
                <w:sz w:val="20"/>
              </w:rPr>
              <w:t>United Kingdom</w:t>
            </w:r>
          </w:p>
        </w:tc>
        <w:tc>
          <w:tcPr>
            <w:tcW w:type="dxa" w:w="1984"/>
          </w:tcPr>
          <w:p>
            <w:r>
              <w:rPr>
                <w:rFonts w:ascii="Aptos" w:hAnsi="Aptos"/>
                <w:sz w:val="20"/>
              </w:rPr>
              <w:t>+0.03</w:t>
            </w:r>
          </w:p>
        </w:tc>
        <w:tc>
          <w:tcPr>
            <w:tcW w:type="dxa" w:w="1701"/>
          </w:tcPr>
          <w:p>
            <w:r>
              <w:rPr>
                <w:rFonts w:ascii="Aptos" w:hAnsi="Aptos"/>
                <w:sz w:val="20"/>
              </w:rPr>
              <w:t>-0.10</w:t>
            </w:r>
          </w:p>
        </w:tc>
        <w:tc>
          <w:tcPr>
            <w:tcW w:type="dxa" w:w="1984"/>
          </w:tcPr>
          <w:p>
            <w:r>
              <w:rPr>
                <w:rFonts w:ascii="Aptos" w:hAnsi="Aptos"/>
                <w:sz w:val="20"/>
              </w:rPr>
              <w:t>-0.07</w:t>
            </w:r>
          </w:p>
        </w:tc>
      </w:tr>
      <w:tr>
        <w:tc>
          <w:tcPr>
            <w:tcW w:type="dxa" w:w="3118"/>
          </w:tcPr>
          <w:p>
            <w:r>
              <w:rPr>
                <w:rFonts w:ascii="Aptos" w:hAnsi="Aptos"/>
                <w:sz w:val="20"/>
              </w:rPr>
              <w:t>Switzerland</w:t>
            </w:r>
          </w:p>
        </w:tc>
        <w:tc>
          <w:tcPr>
            <w:tcW w:type="dxa" w:w="1984"/>
          </w:tcPr>
          <w:p>
            <w:r>
              <w:rPr>
                <w:rFonts w:ascii="Aptos" w:hAnsi="Aptos"/>
                <w:sz w:val="20"/>
              </w:rPr>
              <w:t>+0.06</w:t>
            </w:r>
          </w:p>
        </w:tc>
        <w:tc>
          <w:tcPr>
            <w:tcW w:type="dxa" w:w="1701"/>
          </w:tcPr>
          <w:p>
            <w:r>
              <w:rPr>
                <w:rFonts w:ascii="Aptos" w:hAnsi="Aptos"/>
                <w:sz w:val="20"/>
              </w:rPr>
              <w:t>+0.00</w:t>
            </w:r>
          </w:p>
        </w:tc>
        <w:tc>
          <w:tcPr>
            <w:tcW w:type="dxa" w:w="1984"/>
          </w:tcPr>
          <w:p>
            <w:r>
              <w:rPr>
                <w:rFonts w:ascii="Aptos" w:hAnsi="Aptos"/>
                <w:sz w:val="20"/>
              </w:rPr>
              <w:t>+0.06</w:t>
            </w:r>
          </w:p>
        </w:tc>
      </w:tr>
      <w:tr>
        <w:tc>
          <w:tcPr>
            <w:tcW w:type="dxa" w:w="3118"/>
          </w:tcPr>
          <w:p>
            <w:r>
              <w:rPr>
                <w:rFonts w:ascii="Aptos" w:hAnsi="Aptos"/>
                <w:sz w:val="20"/>
              </w:rPr>
              <w:t>All other countries</w:t>
            </w:r>
          </w:p>
        </w:tc>
        <w:tc>
          <w:tcPr>
            <w:tcW w:type="dxa" w:w="1984"/>
          </w:tcPr>
          <w:p>
            <w:r>
              <w:rPr>
                <w:rFonts w:ascii="Aptos" w:hAnsi="Aptos"/>
                <w:sz w:val="20"/>
              </w:rPr>
              <w:t>+0.10</w:t>
            </w:r>
          </w:p>
        </w:tc>
        <w:tc>
          <w:tcPr>
            <w:tcW w:type="dxa" w:w="1701"/>
          </w:tcPr>
          <w:p>
            <w:r>
              <w:rPr>
                <w:rFonts w:ascii="Aptos" w:hAnsi="Aptos"/>
                <w:sz w:val="20"/>
              </w:rPr>
              <w:t>-0.04</w:t>
            </w:r>
          </w:p>
        </w:tc>
        <w:tc>
          <w:tcPr>
            <w:tcW w:type="dxa" w:w="1984"/>
          </w:tcPr>
          <w:p>
            <w:r>
              <w:rPr>
                <w:rFonts w:ascii="Aptos" w:hAnsi="Aptos"/>
                <w:sz w:val="20"/>
              </w:rPr>
              <w:t>+0.06</w:t>
            </w:r>
          </w:p>
        </w:tc>
      </w:tr>
    </w:tbl>
    <w:p/>
    <w:p>
      <w:pPr>
        <w:pStyle w:val="Heading1"/>
      </w:pPr>
      <w:r>
        <w:rPr>
          <w:rFonts w:ascii="Aptos" w:hAnsi="Aptos"/>
          <w:color w:val="1A2E3B"/>
        </w:rPr>
        <w:t>Positioning by country</w:t>
      </w:r>
    </w:p>
    <w:tbl>
      <w:tblGrid>
        <w:gridCol w:w="3118"/>
        <w:gridCol w:w="1701"/>
        <w:gridCol w:w="1984"/>
        <w:gridCol w:w="1701"/>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Country</w:t>
            </w:r>
          </w:p>
        </w:tc>
        <w:tc>
          <w:tcPr>
            <w:tcW w:type="dxa" w:w="1701"/>
            <w:shd w:val="clear" w:color="auto" w:fill="E8EEEC"/>
          </w:tcPr>
          <w:p>
            <w:pPr>
              <w:jc w:val="left"/>
            </w:pPr>
            <w:r>
              <w:rPr>
                <w:rFonts w:ascii="Aptos" w:hAnsi="Aptos"/>
                <w:b/>
                <w:color w:val="1A2E3B"/>
                <w:sz w:val="20"/>
              </w:rPr>
              <w:t>Fund (%)</w:t>
            </w:r>
          </w:p>
        </w:tc>
        <w:tc>
          <w:tcPr>
            <w:tcW w:type="dxa" w:w="1984"/>
            <w:shd w:val="clear" w:color="auto" w:fill="E8EEEC"/>
          </w:tcPr>
          <w:p>
            <w:pPr>
              <w:jc w:val="left"/>
            </w:pPr>
            <w:r>
              <w:rPr>
                <w:rFonts w:ascii="Aptos" w:hAnsi="Aptos"/>
                <w:b/>
                <w:color w:val="1A2E3B"/>
                <w:sz w:val="20"/>
              </w:rPr>
              <w:t>Benchmark (%)</w:t>
            </w:r>
          </w:p>
        </w:tc>
        <w:tc>
          <w:tcPr>
            <w:tcW w:type="dxa" w:w="1701"/>
            <w:shd w:val="clear" w:color="auto" w:fill="E8EEEC"/>
          </w:tcPr>
          <w:p>
            <w:pPr>
              <w:jc w:val="left"/>
            </w:pPr>
            <w:r>
              <w:rPr>
                <w:rFonts w:ascii="Aptos" w:hAnsi="Aptos"/>
                <w:b/>
                <w:color w:val="1A2E3B"/>
                <w:sz w:val="20"/>
              </w:rPr>
              <w:t>Active (%)</w:t>
            </w:r>
          </w:p>
        </w:tc>
      </w:tr>
      <w:tr>
        <w:tc>
          <w:tcPr>
            <w:tcW w:type="dxa" w:w="3118"/>
          </w:tcPr>
          <w:p>
            <w:r>
              <w:rPr>
                <w:rFonts w:ascii="Aptos" w:hAnsi="Aptos"/>
                <w:sz w:val="20"/>
              </w:rPr>
              <w:t>United States</w:t>
            </w:r>
          </w:p>
        </w:tc>
        <w:tc>
          <w:tcPr>
            <w:tcW w:type="dxa" w:w="1701"/>
          </w:tcPr>
          <w:p>
            <w:r>
              <w:rPr>
                <w:rFonts w:ascii="Aptos" w:hAnsi="Aptos"/>
                <w:sz w:val="20"/>
              </w:rPr>
              <w:t>61.6</w:t>
            </w:r>
          </w:p>
        </w:tc>
        <w:tc>
          <w:tcPr>
            <w:tcW w:type="dxa" w:w="1984"/>
          </w:tcPr>
          <w:p>
            <w:r>
              <w:rPr>
                <w:rFonts w:ascii="Aptos" w:hAnsi="Aptos"/>
                <w:sz w:val="20"/>
              </w:rPr>
              <w:t>72.0</w:t>
            </w:r>
          </w:p>
        </w:tc>
        <w:tc>
          <w:tcPr>
            <w:tcW w:type="dxa" w:w="1701"/>
          </w:tcPr>
          <w:p>
            <w:r>
              <w:rPr>
                <w:rFonts w:ascii="Aptos" w:hAnsi="Aptos"/>
                <w:sz w:val="20"/>
              </w:rPr>
              <w:t>-10.3</w:t>
            </w:r>
          </w:p>
        </w:tc>
      </w:tr>
      <w:tr>
        <w:tc>
          <w:tcPr>
            <w:tcW w:type="dxa" w:w="3118"/>
          </w:tcPr>
          <w:p>
            <w:r>
              <w:rPr>
                <w:rFonts w:ascii="Aptos" w:hAnsi="Aptos"/>
                <w:sz w:val="20"/>
              </w:rPr>
              <w:t>Japan</w:t>
            </w:r>
          </w:p>
        </w:tc>
        <w:tc>
          <w:tcPr>
            <w:tcW w:type="dxa" w:w="1701"/>
          </w:tcPr>
          <w:p>
            <w:r>
              <w:rPr>
                <w:rFonts w:ascii="Aptos" w:hAnsi="Aptos"/>
                <w:sz w:val="20"/>
              </w:rPr>
              <w:t>8.7</w:t>
            </w:r>
          </w:p>
        </w:tc>
        <w:tc>
          <w:tcPr>
            <w:tcW w:type="dxa" w:w="1984"/>
          </w:tcPr>
          <w:p>
            <w:r>
              <w:rPr>
                <w:rFonts w:ascii="Aptos" w:hAnsi="Aptos"/>
                <w:sz w:val="20"/>
              </w:rPr>
              <w:t>5.7</w:t>
            </w:r>
          </w:p>
        </w:tc>
        <w:tc>
          <w:tcPr>
            <w:tcW w:type="dxa" w:w="1701"/>
          </w:tcPr>
          <w:p>
            <w:r>
              <w:rPr>
                <w:rFonts w:ascii="Aptos" w:hAnsi="Aptos"/>
                <w:sz w:val="20"/>
              </w:rPr>
              <w:t>+3.0</w:t>
            </w:r>
          </w:p>
        </w:tc>
      </w:tr>
      <w:tr>
        <w:tc>
          <w:tcPr>
            <w:tcW w:type="dxa" w:w="3118"/>
          </w:tcPr>
          <w:p>
            <w:r>
              <w:rPr>
                <w:rFonts w:ascii="Aptos" w:hAnsi="Aptos"/>
                <w:sz w:val="20"/>
              </w:rPr>
              <w:t>Australia</w:t>
            </w:r>
          </w:p>
        </w:tc>
        <w:tc>
          <w:tcPr>
            <w:tcW w:type="dxa" w:w="1701"/>
          </w:tcPr>
          <w:p>
            <w:r>
              <w:rPr>
                <w:rFonts w:ascii="Aptos" w:hAnsi="Aptos"/>
                <w:sz w:val="20"/>
              </w:rPr>
              <w:t>3.2</w:t>
            </w:r>
          </w:p>
        </w:tc>
        <w:tc>
          <w:tcPr>
            <w:tcW w:type="dxa" w:w="1984"/>
          </w:tcPr>
          <w:p>
            <w:r>
              <w:rPr>
                <w:rFonts w:ascii="Aptos" w:hAnsi="Aptos"/>
                <w:sz w:val="20"/>
              </w:rPr>
              <w:t>1.6</w:t>
            </w:r>
          </w:p>
        </w:tc>
        <w:tc>
          <w:tcPr>
            <w:tcW w:type="dxa" w:w="1701"/>
          </w:tcPr>
          <w:p>
            <w:r>
              <w:rPr>
                <w:rFonts w:ascii="Aptos" w:hAnsi="Aptos"/>
                <w:sz w:val="20"/>
              </w:rPr>
              <w:t>+1.5</w:t>
            </w:r>
          </w:p>
        </w:tc>
      </w:tr>
      <w:tr>
        <w:tc>
          <w:tcPr>
            <w:tcW w:type="dxa" w:w="3118"/>
          </w:tcPr>
          <w:p>
            <w:r>
              <w:rPr>
                <w:rFonts w:ascii="Aptos" w:hAnsi="Aptos"/>
                <w:sz w:val="20"/>
              </w:rPr>
              <w:t>Germany</w:t>
            </w:r>
          </w:p>
        </w:tc>
        <w:tc>
          <w:tcPr>
            <w:tcW w:type="dxa" w:w="1701"/>
          </w:tcPr>
          <w:p>
            <w:r>
              <w:rPr>
                <w:rFonts w:ascii="Aptos" w:hAnsi="Aptos"/>
                <w:sz w:val="20"/>
              </w:rPr>
              <w:t>3.8</w:t>
            </w:r>
          </w:p>
        </w:tc>
        <w:tc>
          <w:tcPr>
            <w:tcW w:type="dxa" w:w="1984"/>
          </w:tcPr>
          <w:p>
            <w:r>
              <w:rPr>
                <w:rFonts w:ascii="Aptos" w:hAnsi="Aptos"/>
                <w:sz w:val="20"/>
              </w:rPr>
              <w:t>2.2</w:t>
            </w:r>
          </w:p>
        </w:tc>
        <w:tc>
          <w:tcPr>
            <w:tcW w:type="dxa" w:w="1701"/>
          </w:tcPr>
          <w:p>
            <w:r>
              <w:rPr>
                <w:rFonts w:ascii="Aptos" w:hAnsi="Aptos"/>
                <w:sz w:val="20"/>
              </w:rPr>
              <w:t>+1.6</w:t>
            </w:r>
          </w:p>
        </w:tc>
      </w:tr>
      <w:tr>
        <w:tc>
          <w:tcPr>
            <w:tcW w:type="dxa" w:w="3118"/>
          </w:tcPr>
          <w:p>
            <w:r>
              <w:rPr>
                <w:rFonts w:ascii="Aptos" w:hAnsi="Aptos"/>
                <w:sz w:val="20"/>
              </w:rPr>
              <w:t>Canada</w:t>
            </w:r>
          </w:p>
        </w:tc>
        <w:tc>
          <w:tcPr>
            <w:tcW w:type="dxa" w:w="1701"/>
          </w:tcPr>
          <w:p>
            <w:r>
              <w:rPr>
                <w:rFonts w:ascii="Aptos" w:hAnsi="Aptos"/>
                <w:sz w:val="20"/>
              </w:rPr>
              <w:t>3.2</w:t>
            </w:r>
          </w:p>
        </w:tc>
        <w:tc>
          <w:tcPr>
            <w:tcW w:type="dxa" w:w="1984"/>
          </w:tcPr>
          <w:p>
            <w:r>
              <w:rPr>
                <w:rFonts w:ascii="Aptos" w:hAnsi="Aptos"/>
                <w:sz w:val="20"/>
              </w:rPr>
              <w:t>3.5</w:t>
            </w:r>
          </w:p>
        </w:tc>
        <w:tc>
          <w:tcPr>
            <w:tcW w:type="dxa" w:w="1701"/>
          </w:tcPr>
          <w:p>
            <w:r>
              <w:rPr>
                <w:rFonts w:ascii="Aptos" w:hAnsi="Aptos"/>
                <w:sz w:val="20"/>
              </w:rPr>
              <w:t>-0.3</w:t>
            </w:r>
          </w:p>
        </w:tc>
      </w:tr>
      <w:tr>
        <w:tc>
          <w:tcPr>
            <w:tcW w:type="dxa" w:w="3118"/>
          </w:tcPr>
          <w:p>
            <w:r>
              <w:rPr>
                <w:rFonts w:ascii="Aptos" w:hAnsi="Aptos"/>
                <w:sz w:val="20"/>
              </w:rPr>
              <w:t>France</w:t>
            </w:r>
          </w:p>
        </w:tc>
        <w:tc>
          <w:tcPr>
            <w:tcW w:type="dxa" w:w="1701"/>
          </w:tcPr>
          <w:p>
            <w:r>
              <w:rPr>
                <w:rFonts w:ascii="Aptos" w:hAnsi="Aptos"/>
                <w:sz w:val="20"/>
              </w:rPr>
              <w:t>10.2</w:t>
            </w:r>
          </w:p>
        </w:tc>
        <w:tc>
          <w:tcPr>
            <w:tcW w:type="dxa" w:w="1984"/>
          </w:tcPr>
          <w:p>
            <w:r>
              <w:rPr>
                <w:rFonts w:ascii="Aptos" w:hAnsi="Aptos"/>
                <w:sz w:val="20"/>
              </w:rPr>
              <w:t>2.4</w:t>
            </w:r>
          </w:p>
        </w:tc>
        <w:tc>
          <w:tcPr>
            <w:tcW w:type="dxa" w:w="1701"/>
          </w:tcPr>
          <w:p>
            <w:r>
              <w:rPr>
                <w:rFonts w:ascii="Aptos" w:hAnsi="Aptos"/>
                <w:sz w:val="20"/>
              </w:rPr>
              <w:t>+7.8</w:t>
            </w:r>
          </w:p>
        </w:tc>
      </w:tr>
      <w:tr>
        <w:tc>
          <w:tcPr>
            <w:tcW w:type="dxa" w:w="3118"/>
          </w:tcPr>
          <w:p>
            <w:r>
              <w:rPr>
                <w:rFonts w:ascii="Aptos" w:hAnsi="Aptos"/>
                <w:sz w:val="20"/>
              </w:rPr>
              <w:t>United Kingdom</w:t>
            </w:r>
          </w:p>
        </w:tc>
        <w:tc>
          <w:tcPr>
            <w:tcW w:type="dxa" w:w="1701"/>
          </w:tcPr>
          <w:p>
            <w:r>
              <w:rPr>
                <w:rFonts w:ascii="Aptos" w:hAnsi="Aptos"/>
                <w:sz w:val="20"/>
              </w:rPr>
              <w:t>2.1</w:t>
            </w:r>
          </w:p>
        </w:tc>
        <w:tc>
          <w:tcPr>
            <w:tcW w:type="dxa" w:w="1984"/>
          </w:tcPr>
          <w:p>
            <w:r>
              <w:rPr>
                <w:rFonts w:ascii="Aptos" w:hAnsi="Aptos"/>
                <w:sz w:val="20"/>
              </w:rPr>
              <w:t>3.5</w:t>
            </w:r>
          </w:p>
        </w:tc>
        <w:tc>
          <w:tcPr>
            <w:tcW w:type="dxa" w:w="1701"/>
          </w:tcPr>
          <w:p>
            <w:r>
              <w:rPr>
                <w:rFonts w:ascii="Aptos" w:hAnsi="Aptos"/>
                <w:sz w:val="20"/>
              </w:rPr>
              <w:t>-1.4</w:t>
            </w:r>
          </w:p>
        </w:tc>
      </w:tr>
      <w:tr>
        <w:tc>
          <w:tcPr>
            <w:tcW w:type="dxa" w:w="3118"/>
          </w:tcPr>
          <w:p>
            <w:r>
              <w:rPr>
                <w:rFonts w:ascii="Aptos" w:hAnsi="Aptos"/>
                <w:sz w:val="20"/>
              </w:rPr>
              <w:t>Switzerland</w:t>
            </w:r>
          </w:p>
        </w:tc>
        <w:tc>
          <w:tcPr>
            <w:tcW w:type="dxa" w:w="1701"/>
          </w:tcPr>
          <w:p>
            <w:r>
              <w:rPr>
                <w:rFonts w:ascii="Aptos" w:hAnsi="Aptos"/>
                <w:sz w:val="20"/>
              </w:rPr>
              <w:t>0.0</w:t>
            </w:r>
          </w:p>
        </w:tc>
        <w:tc>
          <w:tcPr>
            <w:tcW w:type="dxa" w:w="1984"/>
          </w:tcPr>
          <w:p>
            <w:r>
              <w:rPr>
                <w:rFonts w:ascii="Aptos" w:hAnsi="Aptos"/>
                <w:sz w:val="20"/>
              </w:rPr>
              <w:t>2.3</w:t>
            </w:r>
          </w:p>
        </w:tc>
        <w:tc>
          <w:tcPr>
            <w:tcW w:type="dxa" w:w="1701"/>
          </w:tcPr>
          <w:p>
            <w:r>
              <w:rPr>
                <w:rFonts w:ascii="Aptos" w:hAnsi="Aptos"/>
                <w:sz w:val="20"/>
              </w:rPr>
              <w:t>-2.3</w:t>
            </w:r>
          </w:p>
        </w:tc>
      </w:tr>
      <w:tr>
        <w:tc>
          <w:tcPr>
            <w:tcW w:type="dxa" w:w="3118"/>
          </w:tcPr>
          <w:p>
            <w:r>
              <w:rPr>
                <w:rFonts w:ascii="Aptos" w:hAnsi="Aptos"/>
                <w:sz w:val="20"/>
              </w:rPr>
              <w:t>All other countries</w:t>
            </w:r>
          </w:p>
        </w:tc>
        <w:tc>
          <w:tcPr>
            <w:tcW w:type="dxa" w:w="1701"/>
          </w:tcPr>
          <w:p>
            <w:r>
              <w:rPr>
                <w:rFonts w:ascii="Aptos" w:hAnsi="Aptos"/>
                <w:sz w:val="20"/>
              </w:rPr>
              <w:t>7.2</w:t>
            </w:r>
          </w:p>
        </w:tc>
        <w:tc>
          <w:tcPr>
            <w:tcW w:type="dxa" w:w="1984"/>
          </w:tcPr>
          <w:p>
            <w:r>
              <w:rPr>
                <w:rFonts w:ascii="Aptos" w:hAnsi="Aptos"/>
                <w:sz w:val="20"/>
              </w:rPr>
              <w:t>6.8</w:t>
            </w:r>
          </w:p>
        </w:tc>
        <w:tc>
          <w:tcPr>
            <w:tcW w:type="dxa" w:w="1701"/>
          </w:tcPr>
          <w:p>
            <w:r>
              <w:rPr>
                <w:rFonts w:ascii="Aptos" w:hAnsi="Aptos"/>
                <w:sz w:val="20"/>
              </w:rPr>
              <w:t>+0.4</w:t>
            </w:r>
          </w:p>
        </w:tc>
      </w:tr>
    </w:tbl>
    <w:p/>
    <w:p>
      <w:pPr>
        <w:pStyle w:val="Heading1"/>
      </w:pPr>
      <w:r>
        <w:rPr>
          <w:rFonts w:ascii="Aptos" w:hAnsi="Aptos"/>
          <w:color w:val="1A2E3B"/>
        </w:rPr>
        <w:t>Attribution by holding</w:t>
      </w:r>
    </w:p>
    <w:tbl>
      <w:tblGrid>
        <w:gridCol w:w="3118"/>
        <w:gridCol w:w="1984"/>
        <w:gridCol w:w="1701"/>
        <w:gridCol w:w="1984"/>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Holding</w:t>
            </w:r>
          </w:p>
        </w:tc>
        <w:tc>
          <w:tcPr>
            <w:tcW w:type="dxa" w:w="1984"/>
            <w:shd w:val="clear" w:color="auto" w:fill="E8EEEC"/>
          </w:tcPr>
          <w:p>
            <w:pPr>
              <w:jc w:val="left"/>
            </w:pPr>
            <w:r>
              <w:rPr>
                <w:rFonts w:ascii="Aptos" w:hAnsi="Aptos"/>
                <w:b/>
                <w:color w:val="1A2E3B"/>
                <w:sz w:val="20"/>
              </w:rPr>
              <w:t>Allocation (%)</w:t>
            </w:r>
          </w:p>
        </w:tc>
        <w:tc>
          <w:tcPr>
            <w:tcW w:type="dxa" w:w="1701"/>
            <w:shd w:val="clear" w:color="auto" w:fill="E8EEEC"/>
          </w:tcPr>
          <w:p>
            <w:pPr>
              <w:jc w:val="left"/>
            </w:pPr>
            <w:r>
              <w:rPr>
                <w:rFonts w:ascii="Aptos" w:hAnsi="Aptos"/>
                <w:b/>
                <w:color w:val="1A2E3B"/>
                <w:sz w:val="20"/>
              </w:rPr>
              <w:t>Selection (%)</w:t>
            </w:r>
          </w:p>
        </w:tc>
        <w:tc>
          <w:tcPr>
            <w:tcW w:type="dxa" w:w="1984"/>
            <w:shd w:val="clear" w:color="auto" w:fill="E8EEEC"/>
          </w:tcPr>
          <w:p>
            <w:pPr>
              <w:jc w:val="left"/>
            </w:pPr>
            <w:r>
              <w:rPr>
                <w:rFonts w:ascii="Aptos" w:hAnsi="Aptos"/>
                <w:b/>
                <w:color w:val="1A2E3B"/>
                <w:sz w:val="20"/>
              </w:rPr>
              <w:t>Total effect (%)</w:t>
            </w:r>
          </w:p>
        </w:tc>
      </w:tr>
      <w:tr>
        <w:tc>
          <w:tcPr>
            <w:tcW w:type="dxa" w:w="3118"/>
          </w:tcPr>
          <w:p>
            <w:r>
              <w:rPr>
                <w:rFonts w:ascii="Aptos" w:hAnsi="Aptos"/>
                <w:sz w:val="20"/>
              </w:rPr>
              <w:t>BHP Group Ltd</w:t>
            </w:r>
          </w:p>
        </w:tc>
        <w:tc>
          <w:tcPr>
            <w:tcW w:type="dxa" w:w="1984"/>
          </w:tcPr>
          <w:p>
            <w:r>
              <w:rPr>
                <w:rFonts w:ascii="Aptos" w:hAnsi="Aptos"/>
                <w:sz w:val="20"/>
              </w:rPr>
              <w:t>+0.29</w:t>
            </w:r>
          </w:p>
        </w:tc>
        <w:tc>
          <w:tcPr>
            <w:tcW w:type="dxa" w:w="1701"/>
          </w:tcPr>
          <w:p>
            <w:r>
              <w:rPr>
                <w:rFonts w:ascii="Aptos" w:hAnsi="Aptos"/>
                <w:sz w:val="20"/>
              </w:rPr>
              <w:t>-0.03</w:t>
            </w:r>
          </w:p>
        </w:tc>
        <w:tc>
          <w:tcPr>
            <w:tcW w:type="dxa" w:w="1984"/>
          </w:tcPr>
          <w:p>
            <w:r>
              <w:rPr>
                <w:rFonts w:ascii="Aptos" w:hAnsi="Aptos"/>
                <w:sz w:val="20"/>
              </w:rPr>
              <w:t>+0.26</w:t>
            </w:r>
          </w:p>
        </w:tc>
      </w:tr>
      <w:tr>
        <w:tc>
          <w:tcPr>
            <w:tcW w:type="dxa" w:w="3118"/>
          </w:tcPr>
          <w:p>
            <w:r>
              <w:rPr>
                <w:rFonts w:ascii="Aptos" w:hAnsi="Aptos"/>
                <w:sz w:val="20"/>
              </w:rPr>
              <w:t>Merck &amp; Co., Inc.</w:t>
            </w:r>
          </w:p>
        </w:tc>
        <w:tc>
          <w:tcPr>
            <w:tcW w:type="dxa" w:w="1984"/>
          </w:tcPr>
          <w:p>
            <w:r>
              <w:rPr>
                <w:rFonts w:ascii="Aptos" w:hAnsi="Aptos"/>
                <w:sz w:val="20"/>
              </w:rPr>
              <w:t>+0.26</w:t>
            </w:r>
          </w:p>
        </w:tc>
        <w:tc>
          <w:tcPr>
            <w:tcW w:type="dxa" w:w="1701"/>
          </w:tcPr>
          <w:p>
            <w:r>
              <w:rPr>
                <w:rFonts w:ascii="Aptos" w:hAnsi="Aptos"/>
                <w:sz w:val="20"/>
              </w:rPr>
              <w:t>+0.00</w:t>
            </w:r>
          </w:p>
        </w:tc>
        <w:tc>
          <w:tcPr>
            <w:tcW w:type="dxa" w:w="1984"/>
          </w:tcPr>
          <w:p>
            <w:r>
              <w:rPr>
                <w:rFonts w:ascii="Aptos" w:hAnsi="Aptos"/>
                <w:sz w:val="20"/>
              </w:rPr>
              <w:t>+0.26</w:t>
            </w:r>
          </w:p>
        </w:tc>
      </w:tr>
      <w:tr>
        <w:tc>
          <w:tcPr>
            <w:tcW w:type="dxa" w:w="3118"/>
          </w:tcPr>
          <w:p>
            <w:r>
              <w:rPr>
                <w:rFonts w:ascii="Aptos" w:hAnsi="Aptos"/>
                <w:sz w:val="20"/>
              </w:rPr>
              <w:t>SAP SE</w:t>
            </w:r>
          </w:p>
        </w:tc>
        <w:tc>
          <w:tcPr>
            <w:tcW w:type="dxa" w:w="1984"/>
          </w:tcPr>
          <w:p>
            <w:r>
              <w:rPr>
                <w:rFonts w:ascii="Aptos" w:hAnsi="Aptos"/>
                <w:sz w:val="20"/>
              </w:rPr>
              <w:t>+0.13</w:t>
            </w:r>
          </w:p>
        </w:tc>
        <w:tc>
          <w:tcPr>
            <w:tcW w:type="dxa" w:w="1701"/>
          </w:tcPr>
          <w:p>
            <w:r>
              <w:rPr>
                <w:rFonts w:ascii="Aptos" w:hAnsi="Aptos"/>
                <w:sz w:val="20"/>
              </w:rPr>
              <w:t>+0.00</w:t>
            </w:r>
          </w:p>
        </w:tc>
        <w:tc>
          <w:tcPr>
            <w:tcW w:type="dxa" w:w="1984"/>
          </w:tcPr>
          <w:p>
            <w:r>
              <w:rPr>
                <w:rFonts w:ascii="Aptos" w:hAnsi="Aptos"/>
                <w:sz w:val="20"/>
              </w:rPr>
              <w:t>+0.13</w:t>
            </w:r>
          </w:p>
        </w:tc>
      </w:tr>
      <w:tr>
        <w:tc>
          <w:tcPr>
            <w:tcW w:type="dxa" w:w="3118"/>
          </w:tcPr>
          <w:p>
            <w:r>
              <w:rPr>
                <w:rFonts w:ascii="Aptos" w:hAnsi="Aptos"/>
                <w:sz w:val="20"/>
              </w:rPr>
              <w:t>Oracle Corporation</w:t>
            </w:r>
          </w:p>
        </w:tc>
        <w:tc>
          <w:tcPr>
            <w:tcW w:type="dxa" w:w="1984"/>
          </w:tcPr>
          <w:p>
            <w:r>
              <w:rPr>
                <w:rFonts w:ascii="Aptos" w:hAnsi="Aptos"/>
                <w:sz w:val="20"/>
              </w:rPr>
              <w:t>+0.09</w:t>
            </w:r>
          </w:p>
        </w:tc>
        <w:tc>
          <w:tcPr>
            <w:tcW w:type="dxa" w:w="1701"/>
          </w:tcPr>
          <w:p>
            <w:r>
              <w:rPr>
                <w:rFonts w:ascii="Aptos" w:hAnsi="Aptos"/>
                <w:sz w:val="20"/>
              </w:rPr>
              <w:t>-0.00</w:t>
            </w:r>
          </w:p>
        </w:tc>
        <w:tc>
          <w:tcPr>
            <w:tcW w:type="dxa" w:w="1984"/>
          </w:tcPr>
          <w:p>
            <w:r>
              <w:rPr>
                <w:rFonts w:ascii="Aptos" w:hAnsi="Aptos"/>
                <w:sz w:val="20"/>
              </w:rPr>
              <w:t>+0.09</w:t>
            </w:r>
          </w:p>
        </w:tc>
      </w:tr>
      <w:tr>
        <w:tc>
          <w:tcPr>
            <w:tcW w:type="dxa" w:w="3118"/>
          </w:tcPr>
          <w:p>
            <w:r>
              <w:rPr>
                <w:rFonts w:ascii="Aptos" w:hAnsi="Aptos"/>
                <w:sz w:val="20"/>
              </w:rPr>
              <w:t>BlackRock, Inc.</w:t>
            </w:r>
          </w:p>
        </w:tc>
        <w:tc>
          <w:tcPr>
            <w:tcW w:type="dxa" w:w="1984"/>
          </w:tcPr>
          <w:p>
            <w:r>
              <w:rPr>
                <w:rFonts w:ascii="Aptos" w:hAnsi="Aptos"/>
                <w:sz w:val="20"/>
              </w:rPr>
              <w:t>+0.06</w:t>
            </w:r>
          </w:p>
        </w:tc>
        <w:tc>
          <w:tcPr>
            <w:tcW w:type="dxa" w:w="1701"/>
          </w:tcPr>
          <w:p>
            <w:r>
              <w:rPr>
                <w:rFonts w:ascii="Aptos" w:hAnsi="Aptos"/>
                <w:sz w:val="20"/>
              </w:rPr>
              <w:t>+0.00</w:t>
            </w:r>
          </w:p>
        </w:tc>
        <w:tc>
          <w:tcPr>
            <w:tcW w:type="dxa" w:w="1984"/>
          </w:tcPr>
          <w:p>
            <w:r>
              <w:rPr>
                <w:rFonts w:ascii="Aptos" w:hAnsi="Aptos"/>
                <w:sz w:val="20"/>
              </w:rPr>
              <w:t>+0.06</w:t>
            </w:r>
          </w:p>
        </w:tc>
      </w:tr>
      <w:tr>
        <w:tc>
          <w:tcPr>
            <w:tcW w:type="dxa" w:w="3118"/>
          </w:tcPr>
          <w:p>
            <w:r>
              <w:rPr>
                <w:rFonts w:ascii="Aptos" w:hAnsi="Aptos"/>
                <w:sz w:val="20"/>
              </w:rPr>
              <w:t>Mitsubishi Heavy Industries, Ltd.</w:t>
            </w:r>
          </w:p>
        </w:tc>
        <w:tc>
          <w:tcPr>
            <w:tcW w:type="dxa" w:w="1984"/>
          </w:tcPr>
          <w:p>
            <w:r>
              <w:rPr>
                <w:rFonts w:ascii="Aptos" w:hAnsi="Aptos"/>
                <w:sz w:val="20"/>
              </w:rPr>
              <w:t>+0.00</w:t>
            </w:r>
          </w:p>
        </w:tc>
        <w:tc>
          <w:tcPr>
            <w:tcW w:type="dxa" w:w="1701"/>
          </w:tcPr>
          <w:p>
            <w:r>
              <w:rPr>
                <w:rFonts w:ascii="Aptos" w:hAnsi="Aptos"/>
                <w:sz w:val="20"/>
              </w:rPr>
              <w:t>+0.00</w:t>
            </w:r>
          </w:p>
        </w:tc>
        <w:tc>
          <w:tcPr>
            <w:tcW w:type="dxa" w:w="1984"/>
          </w:tcPr>
          <w:p>
            <w:r>
              <w:rPr>
                <w:rFonts w:ascii="Aptos" w:hAnsi="Aptos"/>
                <w:sz w:val="20"/>
              </w:rPr>
              <w:t>+0.00</w:t>
            </w:r>
          </w:p>
        </w:tc>
      </w:tr>
      <w:tr>
        <w:tc>
          <w:tcPr>
            <w:tcW w:type="dxa" w:w="3118"/>
          </w:tcPr>
          <w:p>
            <w:r>
              <w:rPr>
                <w:rFonts w:ascii="Aptos" w:hAnsi="Aptos"/>
                <w:sz w:val="20"/>
              </w:rPr>
              <w:t>Meta Platforms Inc Class A</w:t>
            </w:r>
          </w:p>
        </w:tc>
        <w:tc>
          <w:tcPr>
            <w:tcW w:type="dxa" w:w="1984"/>
          </w:tcPr>
          <w:p>
            <w:r>
              <w:rPr>
                <w:rFonts w:ascii="Aptos" w:hAnsi="Aptos"/>
                <w:sz w:val="20"/>
              </w:rPr>
              <w:t>+0.00</w:t>
            </w:r>
          </w:p>
        </w:tc>
        <w:tc>
          <w:tcPr>
            <w:tcW w:type="dxa" w:w="1701"/>
          </w:tcPr>
          <w:p>
            <w:r>
              <w:rPr>
                <w:rFonts w:ascii="Aptos" w:hAnsi="Aptos"/>
                <w:sz w:val="20"/>
              </w:rPr>
              <w:t>-0.00</w:t>
            </w:r>
          </w:p>
        </w:tc>
        <w:tc>
          <w:tcPr>
            <w:tcW w:type="dxa" w:w="1984"/>
          </w:tcPr>
          <w:p>
            <w:r>
              <w:rPr>
                <w:rFonts w:ascii="Aptos" w:hAnsi="Aptos"/>
                <w:sz w:val="20"/>
              </w:rPr>
              <w:t>+0.00</w:t>
            </w:r>
          </w:p>
        </w:tc>
      </w:tr>
      <w:tr>
        <w:tc>
          <w:tcPr>
            <w:tcW w:type="dxa" w:w="3118"/>
          </w:tcPr>
          <w:p>
            <w:r>
              <w:rPr>
                <w:rFonts w:ascii="Aptos" w:hAnsi="Aptos"/>
                <w:sz w:val="20"/>
              </w:rPr>
              <w:t>L'Oreal S.A.</w:t>
            </w:r>
          </w:p>
        </w:tc>
        <w:tc>
          <w:tcPr>
            <w:tcW w:type="dxa" w:w="1984"/>
          </w:tcPr>
          <w:p>
            <w:r>
              <w:rPr>
                <w:rFonts w:ascii="Aptos" w:hAnsi="Aptos"/>
                <w:sz w:val="20"/>
              </w:rPr>
              <w:t>-0.02</w:t>
            </w:r>
          </w:p>
        </w:tc>
        <w:tc>
          <w:tcPr>
            <w:tcW w:type="dxa" w:w="1701"/>
          </w:tcPr>
          <w:p>
            <w:r>
              <w:rPr>
                <w:rFonts w:ascii="Aptos" w:hAnsi="Aptos"/>
                <w:sz w:val="20"/>
              </w:rPr>
              <w:t>+0.00</w:t>
            </w:r>
          </w:p>
        </w:tc>
        <w:tc>
          <w:tcPr>
            <w:tcW w:type="dxa" w:w="1984"/>
          </w:tcPr>
          <w:p>
            <w:r>
              <w:rPr>
                <w:rFonts w:ascii="Aptos" w:hAnsi="Aptos"/>
                <w:sz w:val="20"/>
              </w:rPr>
              <w:t>-0.02</w:t>
            </w:r>
          </w:p>
        </w:tc>
      </w:tr>
      <w:tr>
        <w:tc>
          <w:tcPr>
            <w:tcW w:type="dxa" w:w="3118"/>
          </w:tcPr>
          <w:p>
            <w:r>
              <w:rPr>
                <w:rFonts w:ascii="Aptos" w:hAnsi="Aptos"/>
                <w:sz w:val="20"/>
              </w:rPr>
              <w:t>Microsoft Corporation</w:t>
            </w:r>
          </w:p>
        </w:tc>
        <w:tc>
          <w:tcPr>
            <w:tcW w:type="dxa" w:w="1984"/>
          </w:tcPr>
          <w:p>
            <w:r>
              <w:rPr>
                <w:rFonts w:ascii="Aptos" w:hAnsi="Aptos"/>
                <w:sz w:val="20"/>
              </w:rPr>
              <w:t>-0.04</w:t>
            </w:r>
          </w:p>
        </w:tc>
        <w:tc>
          <w:tcPr>
            <w:tcW w:type="dxa" w:w="1701"/>
          </w:tcPr>
          <w:p>
            <w:r>
              <w:rPr>
                <w:rFonts w:ascii="Aptos" w:hAnsi="Aptos"/>
                <w:sz w:val="20"/>
              </w:rPr>
              <w:t>+0.00</w:t>
            </w:r>
          </w:p>
        </w:tc>
        <w:tc>
          <w:tcPr>
            <w:tcW w:type="dxa" w:w="1984"/>
          </w:tcPr>
          <w:p>
            <w:r>
              <w:rPr>
                <w:rFonts w:ascii="Aptos" w:hAnsi="Aptos"/>
                <w:sz w:val="20"/>
              </w:rPr>
              <w:t>-0.04</w:t>
            </w:r>
          </w:p>
        </w:tc>
      </w:tr>
      <w:tr>
        <w:tc>
          <w:tcPr>
            <w:tcW w:type="dxa" w:w="3118"/>
          </w:tcPr>
          <w:p>
            <w:r>
              <w:rPr>
                <w:rFonts w:ascii="Aptos" w:hAnsi="Aptos"/>
                <w:sz w:val="20"/>
              </w:rPr>
              <w:t>FAST RETAILING CO., LTD.</w:t>
            </w:r>
          </w:p>
        </w:tc>
        <w:tc>
          <w:tcPr>
            <w:tcW w:type="dxa" w:w="1984"/>
          </w:tcPr>
          <w:p>
            <w:r>
              <w:rPr>
                <w:rFonts w:ascii="Aptos" w:hAnsi="Aptos"/>
                <w:sz w:val="20"/>
              </w:rPr>
              <w:t>-0.19</w:t>
            </w:r>
          </w:p>
        </w:tc>
        <w:tc>
          <w:tcPr>
            <w:tcW w:type="dxa" w:w="1701"/>
          </w:tcPr>
          <w:p>
            <w:r>
              <w:rPr>
                <w:rFonts w:ascii="Aptos" w:hAnsi="Aptos"/>
                <w:sz w:val="20"/>
              </w:rPr>
              <w:t>+0.00</w:t>
            </w:r>
          </w:p>
        </w:tc>
        <w:tc>
          <w:tcPr>
            <w:tcW w:type="dxa" w:w="1984"/>
          </w:tcPr>
          <w:p>
            <w:r>
              <w:rPr>
                <w:rFonts w:ascii="Aptos" w:hAnsi="Aptos"/>
                <w:sz w:val="20"/>
              </w:rPr>
              <w:t>-0.19</w:t>
            </w:r>
          </w:p>
        </w:tc>
      </w:tr>
      <w:tr>
        <w:tc>
          <w:tcPr>
            <w:tcW w:type="dxa" w:w="3118"/>
          </w:tcPr>
          <w:p>
            <w:r>
              <w:rPr>
                <w:rFonts w:ascii="Aptos" w:hAnsi="Aptos"/>
                <w:sz w:val="20"/>
              </w:rPr>
              <w:t>Howmet Aerospace Inc.</w:t>
            </w:r>
          </w:p>
        </w:tc>
        <w:tc>
          <w:tcPr>
            <w:tcW w:type="dxa" w:w="1984"/>
          </w:tcPr>
          <w:p>
            <w:r>
              <w:rPr>
                <w:rFonts w:ascii="Aptos" w:hAnsi="Aptos"/>
                <w:sz w:val="20"/>
              </w:rPr>
              <w:t>-0.26</w:t>
            </w:r>
          </w:p>
        </w:tc>
        <w:tc>
          <w:tcPr>
            <w:tcW w:type="dxa" w:w="1701"/>
          </w:tcPr>
          <w:p>
            <w:r>
              <w:rPr>
                <w:rFonts w:ascii="Aptos" w:hAnsi="Aptos"/>
                <w:sz w:val="20"/>
              </w:rPr>
              <w:t>-0.00</w:t>
            </w:r>
          </w:p>
        </w:tc>
        <w:tc>
          <w:tcPr>
            <w:tcW w:type="dxa" w:w="1984"/>
          </w:tcPr>
          <w:p>
            <w:r>
              <w:rPr>
                <w:rFonts w:ascii="Aptos" w:hAnsi="Aptos"/>
                <w:sz w:val="20"/>
              </w:rPr>
              <w:t>-0.26</w:t>
            </w:r>
          </w:p>
        </w:tc>
      </w:tr>
      <w:tr>
        <w:tc>
          <w:tcPr>
            <w:tcW w:type="dxa" w:w="3118"/>
          </w:tcPr>
          <w:p>
            <w:r>
              <w:rPr>
                <w:rFonts w:ascii="Aptos" w:hAnsi="Aptos"/>
                <w:sz w:val="20"/>
              </w:rPr>
              <w:t>Fanuc Corporation</w:t>
            </w:r>
          </w:p>
        </w:tc>
        <w:tc>
          <w:tcPr>
            <w:tcW w:type="dxa" w:w="1984"/>
          </w:tcPr>
          <w:p>
            <w:r>
              <w:rPr>
                <w:rFonts w:ascii="Aptos" w:hAnsi="Aptos"/>
                <w:sz w:val="20"/>
              </w:rPr>
              <w:t>-0.33</w:t>
            </w:r>
          </w:p>
        </w:tc>
        <w:tc>
          <w:tcPr>
            <w:tcW w:type="dxa" w:w="1701"/>
          </w:tcPr>
          <w:p>
            <w:r>
              <w:rPr>
                <w:rFonts w:ascii="Aptos" w:hAnsi="Aptos"/>
                <w:sz w:val="20"/>
              </w:rPr>
              <w:t>+0.00</w:t>
            </w:r>
          </w:p>
        </w:tc>
        <w:tc>
          <w:tcPr>
            <w:tcW w:type="dxa" w:w="1984"/>
          </w:tcPr>
          <w:p>
            <w:r>
              <w:rPr>
                <w:rFonts w:ascii="Aptos" w:hAnsi="Aptos"/>
                <w:sz w:val="20"/>
              </w:rPr>
              <w:t>-0.33</w:t>
            </w:r>
          </w:p>
        </w:tc>
      </w:tr>
      <w:tr>
        <w:tc>
          <w:tcPr>
            <w:tcW w:type="dxa" w:w="3118"/>
          </w:tcPr>
          <w:p>
            <w:r>
              <w:rPr>
                <w:rFonts w:ascii="Aptos" w:hAnsi="Aptos"/>
                <w:sz w:val="20"/>
              </w:rPr>
              <w:t>Cummins Inc.</w:t>
            </w:r>
          </w:p>
        </w:tc>
        <w:tc>
          <w:tcPr>
            <w:tcW w:type="dxa" w:w="1984"/>
          </w:tcPr>
          <w:p>
            <w:r>
              <w:rPr>
                <w:rFonts w:ascii="Aptos" w:hAnsi="Aptos"/>
                <w:sz w:val="20"/>
              </w:rPr>
              <w:t>-0.41</w:t>
            </w:r>
          </w:p>
        </w:tc>
        <w:tc>
          <w:tcPr>
            <w:tcW w:type="dxa" w:w="1701"/>
          </w:tcPr>
          <w:p>
            <w:r>
              <w:rPr>
                <w:rFonts w:ascii="Aptos" w:hAnsi="Aptos"/>
                <w:sz w:val="20"/>
              </w:rPr>
              <w:t>+0.00</w:t>
            </w:r>
          </w:p>
        </w:tc>
        <w:tc>
          <w:tcPr>
            <w:tcW w:type="dxa" w:w="1984"/>
          </w:tcPr>
          <w:p>
            <w:r>
              <w:rPr>
                <w:rFonts w:ascii="Aptos" w:hAnsi="Aptos"/>
                <w:sz w:val="20"/>
              </w:rPr>
              <w:t>-0.41</w:t>
            </w:r>
          </w:p>
        </w:tc>
      </w:tr>
      <w:tr>
        <w:tc>
          <w:tcPr>
            <w:tcW w:type="dxa" w:w="3118"/>
          </w:tcPr>
          <w:p>
            <w:r>
              <w:rPr>
                <w:rFonts w:ascii="Aptos" w:hAnsi="Aptos"/>
                <w:sz w:val="20"/>
              </w:rPr>
              <w:t>Applied Materials, Inc.</w:t>
            </w:r>
          </w:p>
        </w:tc>
        <w:tc>
          <w:tcPr>
            <w:tcW w:type="dxa" w:w="1984"/>
          </w:tcPr>
          <w:p>
            <w:r>
              <w:rPr>
                <w:rFonts w:ascii="Aptos" w:hAnsi="Aptos"/>
                <w:sz w:val="20"/>
              </w:rPr>
              <w:t>-0.43</w:t>
            </w:r>
          </w:p>
        </w:tc>
        <w:tc>
          <w:tcPr>
            <w:tcW w:type="dxa" w:w="1701"/>
          </w:tcPr>
          <w:p>
            <w:r>
              <w:rPr>
                <w:rFonts w:ascii="Aptos" w:hAnsi="Aptos"/>
                <w:sz w:val="20"/>
              </w:rPr>
              <w:t>+0.00</w:t>
            </w:r>
          </w:p>
        </w:tc>
        <w:tc>
          <w:tcPr>
            <w:tcW w:type="dxa" w:w="1984"/>
          </w:tcPr>
          <w:p>
            <w:r>
              <w:rPr>
                <w:rFonts w:ascii="Aptos" w:hAnsi="Aptos"/>
                <w:sz w:val="20"/>
              </w:rPr>
              <w:t>-0.43</w:t>
            </w:r>
          </w:p>
        </w:tc>
      </w:tr>
    </w:tbl>
    <w:p/>
    <w:p>
      <w:pPr>
        <w:pStyle w:val="Heading1"/>
      </w:pPr>
      <w:r>
        <w:rPr>
          <w:rFonts w:ascii="Aptos" w:hAnsi="Aptos"/>
          <w:color w:val="1A2E3B"/>
        </w:rPr>
        <w:t>Positioning by holding</w:t>
      </w:r>
    </w:p>
    <w:tbl>
      <w:tblGrid>
        <w:gridCol w:w="3118"/>
        <w:gridCol w:w="1701"/>
        <w:gridCol w:w="1984"/>
        <w:gridCol w:w="1701"/>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Holding</w:t>
            </w:r>
          </w:p>
        </w:tc>
        <w:tc>
          <w:tcPr>
            <w:tcW w:type="dxa" w:w="1701"/>
            <w:shd w:val="clear" w:color="auto" w:fill="E8EEEC"/>
          </w:tcPr>
          <w:p>
            <w:pPr>
              <w:jc w:val="left"/>
            </w:pPr>
            <w:r>
              <w:rPr>
                <w:rFonts w:ascii="Aptos" w:hAnsi="Aptos"/>
                <w:b/>
                <w:color w:val="1A2E3B"/>
                <w:sz w:val="20"/>
              </w:rPr>
              <w:t>Fund (%)</w:t>
            </w:r>
          </w:p>
        </w:tc>
        <w:tc>
          <w:tcPr>
            <w:tcW w:type="dxa" w:w="1984"/>
            <w:shd w:val="clear" w:color="auto" w:fill="E8EEEC"/>
          </w:tcPr>
          <w:p>
            <w:pPr>
              <w:jc w:val="left"/>
            </w:pPr>
            <w:r>
              <w:rPr>
                <w:rFonts w:ascii="Aptos" w:hAnsi="Aptos"/>
                <w:b/>
                <w:color w:val="1A2E3B"/>
                <w:sz w:val="20"/>
              </w:rPr>
              <w:t>Benchmark (%)</w:t>
            </w:r>
          </w:p>
        </w:tc>
        <w:tc>
          <w:tcPr>
            <w:tcW w:type="dxa" w:w="1701"/>
            <w:shd w:val="clear" w:color="auto" w:fill="E8EEEC"/>
          </w:tcPr>
          <w:p>
            <w:pPr>
              <w:jc w:val="left"/>
            </w:pPr>
            <w:r>
              <w:rPr>
                <w:rFonts w:ascii="Aptos" w:hAnsi="Aptos"/>
                <w:b/>
                <w:color w:val="1A2E3B"/>
                <w:sz w:val="20"/>
              </w:rPr>
              <w:t>Active (%)</w:t>
            </w:r>
          </w:p>
        </w:tc>
      </w:tr>
      <w:tr>
        <w:tc>
          <w:tcPr>
            <w:tcW w:type="dxa" w:w="3118"/>
          </w:tcPr>
          <w:p>
            <w:r>
              <w:rPr>
                <w:rFonts w:ascii="Aptos" w:hAnsi="Aptos"/>
                <w:sz w:val="20"/>
              </w:rPr>
              <w:t>BHP Group Ltd</w:t>
            </w:r>
          </w:p>
        </w:tc>
        <w:tc>
          <w:tcPr>
            <w:tcW w:type="dxa" w:w="1701"/>
          </w:tcPr>
          <w:p>
            <w:r>
              <w:rPr>
                <w:rFonts w:ascii="Aptos" w:hAnsi="Aptos"/>
                <w:sz w:val="20"/>
              </w:rPr>
              <w:t>3.2</w:t>
            </w:r>
          </w:p>
        </w:tc>
        <w:tc>
          <w:tcPr>
            <w:tcW w:type="dxa" w:w="1984"/>
          </w:tcPr>
          <w:p>
            <w:r>
              <w:rPr>
                <w:rFonts w:ascii="Aptos" w:hAnsi="Aptos"/>
                <w:sz w:val="20"/>
              </w:rPr>
              <w:t>0.2</w:t>
            </w:r>
          </w:p>
        </w:tc>
        <w:tc>
          <w:tcPr>
            <w:tcW w:type="dxa" w:w="1701"/>
          </w:tcPr>
          <w:p>
            <w:r>
              <w:rPr>
                <w:rFonts w:ascii="Aptos" w:hAnsi="Aptos"/>
                <w:sz w:val="20"/>
              </w:rPr>
              <w:t>+2.9</w:t>
            </w:r>
          </w:p>
        </w:tc>
      </w:tr>
      <w:tr>
        <w:tc>
          <w:tcPr>
            <w:tcW w:type="dxa" w:w="3118"/>
          </w:tcPr>
          <w:p>
            <w:r>
              <w:rPr>
                <w:rFonts w:ascii="Aptos" w:hAnsi="Aptos"/>
                <w:sz w:val="20"/>
              </w:rPr>
              <w:t>Merck &amp; Co., Inc.</w:t>
            </w:r>
          </w:p>
        </w:tc>
        <w:tc>
          <w:tcPr>
            <w:tcW w:type="dxa" w:w="1701"/>
          </w:tcPr>
          <w:p>
            <w:r>
              <w:rPr>
                <w:rFonts w:ascii="Aptos" w:hAnsi="Aptos"/>
                <w:sz w:val="20"/>
              </w:rPr>
              <w:t>2.8</w:t>
            </w:r>
          </w:p>
        </w:tc>
        <w:tc>
          <w:tcPr>
            <w:tcW w:type="dxa" w:w="1984"/>
          </w:tcPr>
          <w:p>
            <w:r>
              <w:rPr>
                <w:rFonts w:ascii="Aptos" w:hAnsi="Aptos"/>
                <w:sz w:val="20"/>
              </w:rPr>
              <w:t>0.4</w:t>
            </w:r>
          </w:p>
        </w:tc>
        <w:tc>
          <w:tcPr>
            <w:tcW w:type="dxa" w:w="1701"/>
          </w:tcPr>
          <w:p>
            <w:r>
              <w:rPr>
                <w:rFonts w:ascii="Aptos" w:hAnsi="Aptos"/>
                <w:sz w:val="20"/>
              </w:rPr>
              <w:t>+2.5</w:t>
            </w:r>
          </w:p>
        </w:tc>
      </w:tr>
      <w:tr>
        <w:tc>
          <w:tcPr>
            <w:tcW w:type="dxa" w:w="3118"/>
          </w:tcPr>
          <w:p>
            <w:r>
              <w:rPr>
                <w:rFonts w:ascii="Aptos" w:hAnsi="Aptos"/>
                <w:sz w:val="20"/>
              </w:rPr>
              <w:t>SAP SE</w:t>
            </w:r>
          </w:p>
        </w:tc>
        <w:tc>
          <w:tcPr>
            <w:tcW w:type="dxa" w:w="1701"/>
          </w:tcPr>
          <w:p>
            <w:r>
              <w:rPr>
                <w:rFonts w:ascii="Aptos" w:hAnsi="Aptos"/>
                <w:sz w:val="20"/>
              </w:rPr>
              <w:t>1.0</w:t>
            </w:r>
          </w:p>
        </w:tc>
        <w:tc>
          <w:tcPr>
            <w:tcW w:type="dxa" w:w="1984"/>
          </w:tcPr>
          <w:p>
            <w:r>
              <w:rPr>
                <w:rFonts w:ascii="Aptos" w:hAnsi="Aptos"/>
                <w:sz w:val="20"/>
              </w:rPr>
              <w:t>0.2</w:t>
            </w:r>
          </w:p>
        </w:tc>
        <w:tc>
          <w:tcPr>
            <w:tcW w:type="dxa" w:w="1701"/>
          </w:tcPr>
          <w:p>
            <w:r>
              <w:rPr>
                <w:rFonts w:ascii="Aptos" w:hAnsi="Aptos"/>
                <w:sz w:val="20"/>
              </w:rPr>
              <w:t>+0.7</w:t>
            </w:r>
          </w:p>
        </w:tc>
      </w:tr>
      <w:tr>
        <w:tc>
          <w:tcPr>
            <w:tcW w:type="dxa" w:w="3118"/>
          </w:tcPr>
          <w:p>
            <w:r>
              <w:rPr>
                <w:rFonts w:ascii="Aptos" w:hAnsi="Aptos"/>
                <w:sz w:val="20"/>
              </w:rPr>
              <w:t>Oracle Corporation</w:t>
            </w:r>
          </w:p>
        </w:tc>
        <w:tc>
          <w:tcPr>
            <w:tcW w:type="dxa" w:w="1701"/>
          </w:tcPr>
          <w:p>
            <w:r>
              <w:rPr>
                <w:rFonts w:ascii="Aptos" w:hAnsi="Aptos"/>
                <w:sz w:val="20"/>
              </w:rPr>
              <w:t>1.1</w:t>
            </w:r>
          </w:p>
        </w:tc>
        <w:tc>
          <w:tcPr>
            <w:tcW w:type="dxa" w:w="1984"/>
          </w:tcPr>
          <w:p>
            <w:r>
              <w:rPr>
                <w:rFonts w:ascii="Aptos" w:hAnsi="Aptos"/>
                <w:sz w:val="20"/>
              </w:rPr>
              <w:t>0.3</w:t>
            </w:r>
          </w:p>
        </w:tc>
        <w:tc>
          <w:tcPr>
            <w:tcW w:type="dxa" w:w="1701"/>
          </w:tcPr>
          <w:p>
            <w:r>
              <w:rPr>
                <w:rFonts w:ascii="Aptos" w:hAnsi="Aptos"/>
                <w:sz w:val="20"/>
              </w:rPr>
              <w:t>+0.8</w:t>
            </w:r>
          </w:p>
        </w:tc>
      </w:tr>
      <w:tr>
        <w:tc>
          <w:tcPr>
            <w:tcW w:type="dxa" w:w="3118"/>
          </w:tcPr>
          <w:p>
            <w:r>
              <w:rPr>
                <w:rFonts w:ascii="Aptos" w:hAnsi="Aptos"/>
                <w:sz w:val="20"/>
              </w:rPr>
              <w:t>BlackRock, Inc.</w:t>
            </w:r>
          </w:p>
        </w:tc>
        <w:tc>
          <w:tcPr>
            <w:tcW w:type="dxa" w:w="1701"/>
          </w:tcPr>
          <w:p>
            <w:r>
              <w:rPr>
                <w:rFonts w:ascii="Aptos" w:hAnsi="Aptos"/>
                <w:sz w:val="20"/>
              </w:rPr>
              <w:t>2.2</w:t>
            </w:r>
          </w:p>
        </w:tc>
        <w:tc>
          <w:tcPr>
            <w:tcW w:type="dxa" w:w="1984"/>
          </w:tcPr>
          <w:p>
            <w:r>
              <w:rPr>
                <w:rFonts w:ascii="Aptos" w:hAnsi="Aptos"/>
                <w:sz w:val="20"/>
              </w:rPr>
              <w:t>0.2</w:t>
            </w:r>
          </w:p>
        </w:tc>
        <w:tc>
          <w:tcPr>
            <w:tcW w:type="dxa" w:w="1701"/>
          </w:tcPr>
          <w:p>
            <w:r>
              <w:rPr>
                <w:rFonts w:ascii="Aptos" w:hAnsi="Aptos"/>
                <w:sz w:val="20"/>
              </w:rPr>
              <w:t>+2.0</w:t>
            </w:r>
          </w:p>
        </w:tc>
      </w:tr>
      <w:tr>
        <w:tc>
          <w:tcPr>
            <w:tcW w:type="dxa" w:w="3118"/>
          </w:tcPr>
          <w:p>
            <w:r>
              <w:rPr>
                <w:rFonts w:ascii="Aptos" w:hAnsi="Aptos"/>
                <w:sz w:val="20"/>
              </w:rPr>
              <w:t>Mitsubishi Heavy Industries, Ltd.</w:t>
            </w:r>
          </w:p>
        </w:tc>
        <w:tc>
          <w:tcPr>
            <w:tcW w:type="dxa" w:w="1701"/>
          </w:tcPr>
          <w:p>
            <w:r>
              <w:rPr>
                <w:rFonts w:ascii="Aptos" w:hAnsi="Aptos"/>
                <w:sz w:val="20"/>
              </w:rPr>
              <w:t>1.9</w:t>
            </w:r>
          </w:p>
        </w:tc>
        <w:tc>
          <w:tcPr>
            <w:tcW w:type="dxa" w:w="1984"/>
          </w:tcPr>
          <w:p>
            <w:r>
              <w:rPr>
                <w:rFonts w:ascii="Aptos" w:hAnsi="Aptos"/>
                <w:sz w:val="20"/>
              </w:rPr>
              <w:t>0.1</w:t>
            </w:r>
          </w:p>
        </w:tc>
        <w:tc>
          <w:tcPr>
            <w:tcW w:type="dxa" w:w="1701"/>
          </w:tcPr>
          <w:p>
            <w:r>
              <w:rPr>
                <w:rFonts w:ascii="Aptos" w:hAnsi="Aptos"/>
                <w:sz w:val="20"/>
              </w:rPr>
              <w:t>+1.8</w:t>
            </w:r>
          </w:p>
        </w:tc>
      </w:tr>
      <w:tr>
        <w:tc>
          <w:tcPr>
            <w:tcW w:type="dxa" w:w="3118"/>
          </w:tcPr>
          <w:p>
            <w:r>
              <w:rPr>
                <w:rFonts w:ascii="Aptos" w:hAnsi="Aptos"/>
                <w:sz w:val="20"/>
              </w:rPr>
              <w:t>Meta Platforms Inc Class A</w:t>
            </w:r>
          </w:p>
        </w:tc>
        <w:tc>
          <w:tcPr>
            <w:tcW w:type="dxa" w:w="1701"/>
          </w:tcPr>
          <w:p>
            <w:r>
              <w:rPr>
                <w:rFonts w:ascii="Aptos" w:hAnsi="Aptos"/>
                <w:sz w:val="20"/>
              </w:rPr>
              <w:t>0.9</w:t>
            </w:r>
          </w:p>
        </w:tc>
        <w:tc>
          <w:tcPr>
            <w:tcW w:type="dxa" w:w="1984"/>
          </w:tcPr>
          <w:p>
            <w:r>
              <w:rPr>
                <w:rFonts w:ascii="Aptos" w:hAnsi="Aptos"/>
                <w:sz w:val="20"/>
              </w:rPr>
              <w:t>1.4</w:t>
            </w:r>
          </w:p>
        </w:tc>
        <w:tc>
          <w:tcPr>
            <w:tcW w:type="dxa" w:w="1701"/>
          </w:tcPr>
          <w:p>
            <w:r>
              <w:rPr>
                <w:rFonts w:ascii="Aptos" w:hAnsi="Aptos"/>
                <w:sz w:val="20"/>
              </w:rPr>
              <w:t>-0.4</w:t>
            </w:r>
          </w:p>
        </w:tc>
      </w:tr>
      <w:tr>
        <w:tc>
          <w:tcPr>
            <w:tcW w:type="dxa" w:w="3118"/>
          </w:tcPr>
          <w:p>
            <w:r>
              <w:rPr>
                <w:rFonts w:ascii="Aptos" w:hAnsi="Aptos"/>
                <w:sz w:val="20"/>
              </w:rPr>
              <w:t>L'Oreal S.A.</w:t>
            </w:r>
          </w:p>
        </w:tc>
        <w:tc>
          <w:tcPr>
            <w:tcW w:type="dxa" w:w="1701"/>
          </w:tcPr>
          <w:p>
            <w:r>
              <w:rPr>
                <w:rFonts w:ascii="Aptos" w:hAnsi="Aptos"/>
                <w:sz w:val="20"/>
              </w:rPr>
              <w:t>1.1</w:t>
            </w:r>
          </w:p>
        </w:tc>
        <w:tc>
          <w:tcPr>
            <w:tcW w:type="dxa" w:w="1984"/>
          </w:tcPr>
          <w:p>
            <w:r>
              <w:rPr>
                <w:rFonts w:ascii="Aptos" w:hAnsi="Aptos"/>
                <w:sz w:val="20"/>
              </w:rPr>
              <w:t>0.1</w:t>
            </w:r>
          </w:p>
        </w:tc>
        <w:tc>
          <w:tcPr>
            <w:tcW w:type="dxa" w:w="1701"/>
          </w:tcPr>
          <w:p>
            <w:r>
              <w:rPr>
                <w:rFonts w:ascii="Aptos" w:hAnsi="Aptos"/>
                <w:sz w:val="20"/>
              </w:rPr>
              <w:t>+0.9</w:t>
            </w:r>
          </w:p>
        </w:tc>
      </w:tr>
      <w:tr>
        <w:tc>
          <w:tcPr>
            <w:tcW w:type="dxa" w:w="3118"/>
          </w:tcPr>
          <w:p>
            <w:r>
              <w:rPr>
                <w:rFonts w:ascii="Aptos" w:hAnsi="Aptos"/>
                <w:sz w:val="20"/>
              </w:rPr>
              <w:t>Microsoft Corporation</w:t>
            </w:r>
          </w:p>
        </w:tc>
        <w:tc>
          <w:tcPr>
            <w:tcW w:type="dxa" w:w="1701"/>
          </w:tcPr>
          <w:p>
            <w:r>
              <w:rPr>
                <w:rFonts w:ascii="Aptos" w:hAnsi="Aptos"/>
                <w:sz w:val="20"/>
              </w:rPr>
              <w:t>3.2</w:t>
            </w:r>
          </w:p>
        </w:tc>
        <w:tc>
          <w:tcPr>
            <w:tcW w:type="dxa" w:w="1984"/>
          </w:tcPr>
          <w:p>
            <w:r>
              <w:rPr>
                <w:rFonts w:ascii="Aptos" w:hAnsi="Aptos"/>
                <w:sz w:val="20"/>
              </w:rPr>
              <w:t>3.8</w:t>
            </w:r>
          </w:p>
        </w:tc>
        <w:tc>
          <w:tcPr>
            <w:tcW w:type="dxa" w:w="1701"/>
          </w:tcPr>
          <w:p>
            <w:r>
              <w:rPr>
                <w:rFonts w:ascii="Aptos" w:hAnsi="Aptos"/>
                <w:sz w:val="20"/>
              </w:rPr>
              <w:t>-0.6</w:t>
            </w:r>
          </w:p>
        </w:tc>
      </w:tr>
      <w:tr>
        <w:tc>
          <w:tcPr>
            <w:tcW w:type="dxa" w:w="3118"/>
          </w:tcPr>
          <w:p>
            <w:r>
              <w:rPr>
                <w:rFonts w:ascii="Aptos" w:hAnsi="Aptos"/>
                <w:sz w:val="20"/>
              </w:rPr>
              <w:t>FAST RETAILING CO., LTD.</w:t>
            </w:r>
          </w:p>
        </w:tc>
        <w:tc>
          <w:tcPr>
            <w:tcW w:type="dxa" w:w="1701"/>
          </w:tcPr>
          <w:p>
            <w:r>
              <w:rPr>
                <w:rFonts w:ascii="Aptos" w:hAnsi="Aptos"/>
                <w:sz w:val="20"/>
              </w:rPr>
              <w:t>1.9</w:t>
            </w:r>
          </w:p>
        </w:tc>
        <w:tc>
          <w:tcPr>
            <w:tcW w:type="dxa" w:w="1984"/>
          </w:tcPr>
          <w:p>
            <w:r>
              <w:rPr>
                <w:rFonts w:ascii="Aptos" w:hAnsi="Aptos"/>
                <w:sz w:val="20"/>
              </w:rPr>
              <w:t>0.1</w:t>
            </w:r>
          </w:p>
        </w:tc>
        <w:tc>
          <w:tcPr>
            <w:tcW w:type="dxa" w:w="1701"/>
          </w:tcPr>
          <w:p>
            <w:r>
              <w:rPr>
                <w:rFonts w:ascii="Aptos" w:hAnsi="Aptos"/>
                <w:sz w:val="20"/>
              </w:rPr>
              <w:t>+1.8</w:t>
            </w:r>
          </w:p>
        </w:tc>
      </w:tr>
      <w:tr>
        <w:tc>
          <w:tcPr>
            <w:tcW w:type="dxa" w:w="3118"/>
          </w:tcPr>
          <w:p>
            <w:r>
              <w:rPr>
                <w:rFonts w:ascii="Aptos" w:hAnsi="Aptos"/>
                <w:sz w:val="20"/>
              </w:rPr>
              <w:t>Howmet Aerospace Inc.</w:t>
            </w:r>
          </w:p>
        </w:tc>
        <w:tc>
          <w:tcPr>
            <w:tcW w:type="dxa" w:w="1701"/>
          </w:tcPr>
          <w:p>
            <w:r>
              <w:rPr>
                <w:rFonts w:ascii="Aptos" w:hAnsi="Aptos"/>
                <w:sz w:val="20"/>
              </w:rPr>
              <w:t>0.8</w:t>
            </w:r>
          </w:p>
        </w:tc>
        <w:tc>
          <w:tcPr>
            <w:tcW w:type="dxa" w:w="1984"/>
          </w:tcPr>
          <w:p>
            <w:r>
              <w:rPr>
                <w:rFonts w:ascii="Aptos" w:hAnsi="Aptos"/>
                <w:sz w:val="20"/>
              </w:rPr>
              <w:t>0.1</w:t>
            </w:r>
          </w:p>
        </w:tc>
        <w:tc>
          <w:tcPr>
            <w:tcW w:type="dxa" w:w="1701"/>
          </w:tcPr>
          <w:p>
            <w:r>
              <w:rPr>
                <w:rFonts w:ascii="Aptos" w:hAnsi="Aptos"/>
                <w:sz w:val="20"/>
              </w:rPr>
              <w:t>+0.7</w:t>
            </w:r>
          </w:p>
        </w:tc>
      </w:tr>
      <w:tr>
        <w:tc>
          <w:tcPr>
            <w:tcW w:type="dxa" w:w="3118"/>
          </w:tcPr>
          <w:p>
            <w:r>
              <w:rPr>
                <w:rFonts w:ascii="Aptos" w:hAnsi="Aptos"/>
                <w:sz w:val="20"/>
              </w:rPr>
              <w:t>Fanuc Corporation</w:t>
            </w:r>
          </w:p>
        </w:tc>
        <w:tc>
          <w:tcPr>
            <w:tcW w:type="dxa" w:w="1701"/>
          </w:tcPr>
          <w:p>
            <w:r>
              <w:rPr>
                <w:rFonts w:ascii="Aptos" w:hAnsi="Aptos"/>
                <w:sz w:val="20"/>
              </w:rPr>
              <w:t>1.6</w:t>
            </w:r>
          </w:p>
        </w:tc>
        <w:tc>
          <w:tcPr>
            <w:tcW w:type="dxa" w:w="1984"/>
          </w:tcPr>
          <w:p>
            <w:r>
              <w:rPr>
                <w:rFonts w:ascii="Aptos" w:hAnsi="Aptos"/>
                <w:sz w:val="20"/>
              </w:rPr>
              <w:t>0.0</w:t>
            </w:r>
          </w:p>
        </w:tc>
        <w:tc>
          <w:tcPr>
            <w:tcW w:type="dxa" w:w="1701"/>
          </w:tcPr>
          <w:p>
            <w:r>
              <w:rPr>
                <w:rFonts w:ascii="Aptos" w:hAnsi="Aptos"/>
                <w:sz w:val="20"/>
              </w:rPr>
              <w:t>+1.6</w:t>
            </w:r>
          </w:p>
        </w:tc>
      </w:tr>
      <w:tr>
        <w:tc>
          <w:tcPr>
            <w:tcW w:type="dxa" w:w="3118"/>
          </w:tcPr>
          <w:p>
            <w:r>
              <w:rPr>
                <w:rFonts w:ascii="Aptos" w:hAnsi="Aptos"/>
                <w:sz w:val="20"/>
              </w:rPr>
              <w:t>Cummins Inc.</w:t>
            </w:r>
          </w:p>
        </w:tc>
        <w:tc>
          <w:tcPr>
            <w:tcW w:type="dxa" w:w="1701"/>
          </w:tcPr>
          <w:p>
            <w:r>
              <w:rPr>
                <w:rFonts w:ascii="Aptos" w:hAnsi="Aptos"/>
                <w:sz w:val="20"/>
              </w:rPr>
              <w:t>3.0</w:t>
            </w:r>
          </w:p>
        </w:tc>
        <w:tc>
          <w:tcPr>
            <w:tcW w:type="dxa" w:w="1984"/>
          </w:tcPr>
          <w:p>
            <w:r>
              <w:rPr>
                <w:rFonts w:ascii="Aptos" w:hAnsi="Aptos"/>
                <w:sz w:val="20"/>
              </w:rPr>
              <w:t>0.1</w:t>
            </w:r>
          </w:p>
        </w:tc>
        <w:tc>
          <w:tcPr>
            <w:tcW w:type="dxa" w:w="1701"/>
          </w:tcPr>
          <w:p>
            <w:r>
              <w:rPr>
                <w:rFonts w:ascii="Aptos" w:hAnsi="Aptos"/>
                <w:sz w:val="20"/>
              </w:rPr>
              <w:t>+2.9</w:t>
            </w:r>
          </w:p>
        </w:tc>
      </w:tr>
      <w:tr>
        <w:tc>
          <w:tcPr>
            <w:tcW w:type="dxa" w:w="3118"/>
          </w:tcPr>
          <w:p>
            <w:r>
              <w:rPr>
                <w:rFonts w:ascii="Aptos" w:hAnsi="Aptos"/>
                <w:sz w:val="20"/>
              </w:rPr>
              <w:t>Applied Materials, Inc.</w:t>
            </w:r>
          </w:p>
        </w:tc>
        <w:tc>
          <w:tcPr>
            <w:tcW w:type="dxa" w:w="1701"/>
          </w:tcPr>
          <w:p>
            <w:r>
              <w:rPr>
                <w:rFonts w:ascii="Aptos" w:hAnsi="Aptos"/>
                <w:sz w:val="20"/>
              </w:rPr>
              <w:t>4.0</w:t>
            </w:r>
          </w:p>
        </w:tc>
        <w:tc>
          <w:tcPr>
            <w:tcW w:type="dxa" w:w="1984"/>
          </w:tcPr>
          <w:p>
            <w:r>
              <w:rPr>
                <w:rFonts w:ascii="Aptos" w:hAnsi="Aptos"/>
                <w:sz w:val="20"/>
              </w:rPr>
              <w:t>0.4</w:t>
            </w:r>
          </w:p>
        </w:tc>
        <w:tc>
          <w:tcPr>
            <w:tcW w:type="dxa" w:w="1701"/>
          </w:tcPr>
          <w:p>
            <w:r>
              <w:rPr>
                <w:rFonts w:ascii="Aptos" w:hAnsi="Aptos"/>
                <w:sz w:val="20"/>
              </w:rPr>
              <w:t>+3.5</w:t>
            </w:r>
          </w:p>
        </w:tc>
      </w:tr>
    </w:tbl>
    <w:p/>
    <w:p>
      <w:pPr>
        <w:pStyle w:val="Heading1"/>
      </w:pPr>
      <w:r>
        <w:rPr>
          <w:rFonts w:ascii="Aptos" w:hAnsi="Aptos"/>
          <w:color w:val="1A2E3B"/>
        </w:rPr>
        <w:t>Macro drivers</w:t>
      </w:r>
    </w:p>
    <w:p>
      <w:pPr>
        <w:pStyle w:val="ListBullet"/>
      </w:pPr>
      <w:r>
        <w:rPr>
          <w:rFonts w:ascii="Aptos" w:hAnsi="Aptos"/>
          <w:b/>
        </w:rPr>
        <w:t>Interest rates: US Fed funds rate held at 4.25%-4.50%</w:t>
      </w:r>
    </w:p>
    <w:p>
      <w:pPr>
        <w:ind w:left="340"/>
      </w:pPr>
      <w:r>
        <w:rPr>
          <w:rFonts w:ascii="Aptos" w:hAnsi="Aptos"/>
          <w:sz w:val="21"/>
        </w:rPr>
        <w:t>The Federal Reserve held rates steady for a third consecutive meeting, with commentary continuing to lean on incoming inflation data before signalling any cutting cycle. This kept discount rate assumptions for growth-oriented sectors broadly stable over the month.</w:t>
      </w:r>
    </w:p>
    <w:p>
      <w:pPr>
        <w:pStyle w:val="ListBullet"/>
      </w:pPr>
      <w:r>
        <w:rPr>
          <w:rFonts w:ascii="Aptos" w:hAnsi="Aptos"/>
          <w:b/>
        </w:rPr>
        <w:t>FX: NZD/USD ended the month at 0.585, down 1.2%</w:t>
      </w:r>
    </w:p>
    <w:p>
      <w:pPr>
        <w:ind w:left="340"/>
      </w:pPr>
      <w:r>
        <w:rPr>
          <w:rFonts w:ascii="Aptos" w:hAnsi="Aptos"/>
          <w:sz w:val="21"/>
        </w:rPr>
        <w:t>A softer New Zealand dollar over the month added a modest tailwind to unhedged offshore returns for New Zealand-based investors, contributing roughly 1.2 percentage points of the fund's total return in NZD terms.</w:t>
      </w:r>
    </w:p>
    <w:p>
      <w:pPr>
        <w:pStyle w:val="ListBullet"/>
      </w:pPr>
      <w:r>
        <w:rPr>
          <w:rFonts w:ascii="Aptos" w:hAnsi="Aptos"/>
          <w:b/>
        </w:rPr>
        <w:t>Bond yields: US 10-year Treasury yield eased 8bps to 4.21%</w:t>
      </w:r>
    </w:p>
    <w:p>
      <w:pPr>
        <w:ind w:left="340"/>
      </w:pPr>
      <w:r>
        <w:rPr>
          <w:rFonts w:ascii="Aptos" w:hAnsi="Aptos"/>
          <w:sz w:val="21"/>
        </w:rPr>
        <w:t>A modest pullback in long-dated yields provided some relief for higher duration growth names, part of the same rally in the technology sector that the fund's underweight position there missed most of.</w:t>
      </w:r>
    </w:p>
    <w:p>
      <w:pPr>
        <w:pStyle w:val="ListBullet"/>
      </w:pPr>
      <w:r>
        <w:rPr>
          <w:rFonts w:ascii="Aptos" w:hAnsi="Aptos"/>
          <w:b/>
        </w:rPr>
        <w:t>Geopolitical events: Ongoing trade policy discussions between major economies</w:t>
      </w:r>
    </w:p>
    <w:p>
      <w:pPr>
        <w:ind w:left="340"/>
      </w:pPr>
      <w:r>
        <w:rPr>
          <w:rFonts w:ascii="Aptos" w:hAnsi="Aptos"/>
          <w:sz w:val="21"/>
        </w:rPr>
        <w:t>Continued uncertainty around trade policy kept volatility elevated in cyclical sectors, particularly industrials and energy, though broad market impact was contained over the period.</w:t>
      </w:r>
    </w:p>
    <w:p>
      <w:pPr>
        <w:pStyle w:val="Heading1"/>
      </w:pPr>
      <w:r>
        <w:rPr>
          <w:rFonts w:ascii="Aptos" w:hAnsi="Aptos"/>
          <w:color w:val="1A2E3B"/>
        </w:rPr>
        <w:t>Market reactions</w:t>
      </w:r>
    </w:p>
    <w:p>
      <w:r>
        <w:rPr>
          <w:rFonts w:ascii="Aptos" w:hAnsi="Aptos"/>
          <w:color w:val="555555"/>
          <w:sz w:val="19"/>
        </w:rPr>
        <w:t>How the market responded to disclosures by the companies and funds held.</w:t>
      </w:r>
    </w:p>
    <w:p>
      <w:r>
        <w:rPr>
          <w:rFonts w:ascii="Aptos" w:hAnsi="Aptos"/>
          <w:b/>
          <w:color w:val="1A2E3B"/>
        </w:rPr>
        <w:t>Microsoft</w:t>
      </w:r>
      <w:r>
        <w:rPr>
          <w:rFonts w:ascii="Aptos" w:hAnsi="Aptos"/>
          <w:b w:val="0"/>
          <w:i/>
          <w:color w:val="2E6B5E"/>
          <w:sz w:val="16"/>
        </w:rPr>
        <w:t xml:space="preserve">  [AI-drafted]</w:t>
      </w:r>
    </w:p>
    <w:p>
      <w:pPr>
        <w:ind w:left="340"/>
      </w:pPr>
      <w:r>
        <w:rPr>
          <w:rFonts w:ascii="Aptos" w:hAnsi="Aptos"/>
          <w:color w:val="555555"/>
          <w:sz w:val="19"/>
        </w:rPr>
        <w:t>Disclosures during Month ended 31 August 2026  |  Little market reaction</w:t>
      </w:r>
    </w:p>
    <w:p>
      <w:pPr>
        <w:ind w:left="340"/>
      </w:pPr>
      <w:r>
        <w:rPr>
          <w:rFonts w:ascii="Aptos" w:hAnsi="Aptos"/>
          <w:sz w:val="21"/>
        </w:rPr>
        <w:t>Microsoft's headline-driving fiscal fourth-quarter results, and the associated market reaction, fell just outside the month ended 31 August 2026: the company reported on 29 July 2026 and shares soared 16%, their biggest gain since October 2008, to add roughly $450 billion to its market capitalization, a move driven by Azure posting its cloud unit grew at the fastest pace in four years, suggesting that the company's computing infrastructure and artificial intelligence services continue to make inroads with businesses. Within the August 2026 window itself, disclosures were more incremental than market moving: on 5 August 2026 Microsoft's SEC filing showed $24.1 billion in sales from the AI firm during the year ended in June, Microsoft said in a filing last week, quantifying OpenAI's outsized contribution to its AI revenue, and later in the month, on 28 August 2026, Microsoft said it would begin reporting Azure figures separately, reversing course after years of criticism from Wall Street regarding a lack of information about the company's most important growth engine. Searches did not return any specific share price move or analyst reaction tied directly to these August disclosures.</w:t>
      </w:r>
    </w:p>
    <w:p>
      <w:r>
        <w:rPr>
          <w:rFonts w:ascii="Aptos" w:hAnsi="Aptos"/>
          <w:b/>
          <w:color w:val="1A2E3B"/>
        </w:rPr>
        <w:t>ASML Holding</w:t>
      </w:r>
      <w:r>
        <w:rPr>
          <w:rFonts w:ascii="Aptos" w:hAnsi="Aptos"/>
          <w:b w:val="0"/>
          <w:i/>
          <w:color w:val="2E6B5E"/>
          <w:sz w:val="16"/>
        </w:rPr>
        <w:t xml:space="preserve">  [AI-drafted]</w:t>
      </w:r>
    </w:p>
    <w:p>
      <w:pPr>
        <w:ind w:left="340"/>
      </w:pPr>
      <w:r>
        <w:rPr>
          <w:rFonts w:ascii="Aptos" w:hAnsi="Aptos"/>
          <w:color w:val="555555"/>
          <w:sz w:val="19"/>
        </w:rPr>
        <w:t>Disclosures during Month ended 31 August 2026  |  Little market reaction</w:t>
      </w:r>
    </w:p>
    <w:p>
      <w:pPr>
        <w:ind w:left="340"/>
      </w:pPr>
      <w:r>
        <w:rPr>
          <w:rFonts w:ascii="Aptos" w:hAnsi="Aptos"/>
          <w:sz w:val="21"/>
        </w:rPr>
        <w:t>Searches did not surface any ASML company announcement or results release published specifically within August 2026, nor any reported share price reaction for that month. The most relevant nearby items fell either side of the window: ASML's Q2 2026 results were published on 15 July 2026, and its shares had slid to the lowest since early June after a report that a Chinese state-backed company had begun mass producing certain chipmaking machines, posing a potential threat to the Dutch firm's sales, a story that broke on 27 July 2026. The only scheduled corporate action falling inside the August window was procedural rather than a new disclosure: an interim dividend over 2026 of €1.88 per ordinary share was made payable on 5 August 2026, with no market reaction reported around that payment date.</w:t>
      </w:r>
    </w:p>
    <w:p>
      <w:r>
        <w:rPr>
          <w:rFonts w:ascii="Aptos" w:hAnsi="Aptos"/>
          <w:b/>
          <w:color w:val="1A2E3B"/>
        </w:rPr>
        <w:t>Novo Nordisk</w:t>
      </w:r>
      <w:r>
        <w:rPr>
          <w:rFonts w:ascii="Aptos" w:hAnsi="Aptos"/>
          <w:b w:val="0"/>
          <w:i/>
          <w:color w:val="2E6B5E"/>
          <w:sz w:val="16"/>
        </w:rPr>
        <w:t xml:space="preserve">  [AI-drafted]</w:t>
      </w:r>
    </w:p>
    <w:p>
      <w:pPr>
        <w:ind w:left="340"/>
      </w:pPr>
      <w:r>
        <w:rPr>
          <w:rFonts w:ascii="Aptos" w:hAnsi="Aptos"/>
          <w:color w:val="555555"/>
          <w:sz w:val="19"/>
        </w:rPr>
        <w:t>Disclosures during Month ended 31 August 2026  |  Mixed reception</w:t>
      </w:r>
    </w:p>
    <w:p>
      <w:pPr>
        <w:ind w:left="340"/>
      </w:pPr>
      <w:r>
        <w:rPr>
          <w:rFonts w:ascii="Aptos" w:hAnsi="Aptos"/>
          <w:sz w:val="21"/>
        </w:rPr>
        <w:t>I have enough to write the section.</w:t>
        <w:br/>
        <w:br/>
        <w:t>On 4 August 2026, Novo Nordisk published its H1 2026 results alongside Q2 figures, reporting Q2 2026 adjusted sales increased by 7% at CER, and adjusted operating profit increased by 11% at CER, and the company raised 2026 full-year adjusted sales and adjusted operating profit outlook, with adjusted sales growth now expected to be 0% to -6% at CER and adjusted operating profit growth also expected to be 0% to -6% at CER. Despite the improved guidance, the stock fell on the day: Bloomberg reported that European stocks traded steady near a record high as falls in HSBC Holdings Plc and Novo Nordisk A/S helped erase early gains. Commentators framed the move as a continuation of a broader competitive worry rather than a reaction to the numbers themselves, with Bloomberg's Nordic newsletter noting that even though Novo Nordisk raised its outlook this week, the Danish drugmaker's latest earnings report did little to upend the investor perception that the company is struggling against rival Eli Lilly. The result also included DKK 6.3 billion of non-recurring, non-cash impairment charges in Q2 2026 related to intangible pipeline assets, including monlunabant, which added to the cautious tone around the release even as headline growth metrics improved.</w:t>
      </w:r>
    </w:p>
    <w:p>
      <w:pPr>
        <w:pStyle w:val="Heading1"/>
      </w:pPr>
      <w:r>
        <w:rPr>
          <w:rFonts w:ascii="Aptos" w:hAnsi="Aptos"/>
          <w:color w:val="1A2E3B"/>
        </w:rPr>
        <w:t>Commentary</w:t>
      </w:r>
    </w:p>
    <w:p>
      <w:pPr>
        <w:pStyle w:val="Heading2"/>
      </w:pPr>
      <w:r>
        <w:rPr>
          <w:rFonts w:ascii="Aptos" w:hAnsi="Aptos"/>
          <w:color w:val="1A2E3B"/>
        </w:rPr>
        <w:t>Market commentary</w:t>
      </w:r>
      <w:r>
        <w:rPr>
          <w:rFonts w:ascii="Aptos" w:hAnsi="Aptos"/>
          <w:b w:val="0"/>
          <w:i/>
          <w:color w:val="2E6B5E"/>
          <w:sz w:val="16"/>
        </w:rPr>
        <w:t xml:space="preserve">  [AI-drafted]</w:t>
      </w:r>
    </w:p>
    <w:p>
      <w:r>
        <w:rPr>
          <w:rFonts w:ascii="Aptos" w:hAnsi="Aptos"/>
        </w:rPr>
        <w:t>The MSCI World Index's 2.58% gain in the month to 31 August 2026 came against a backdrop of sharp intra-month swings in global equities, particularly across technology and semiconductor names. Early in the month, US stocks were lifted by a resumption of the AI trade after a subdued inflation reading, with investors turning their focus on a bumper earnings season after a subdued inflation reading helped ease interest-rate hike concerns, with results from Coreweave Inc. and Super Micro Computer Inc. affirming confidence in the AI trade. That strength reversed sharply around 17 to 18 August, when a selloff in chipmakers sent stocks lower, with the market also falling as growing anxiety about inflation and rising government debt kept bond yields elevated, driving a closely watched gauge of semiconductor firms down by 5% and the Nasdaq 100 down 1.7%. Gains were trimmed again into month end as a flare-up in geopolitical risks sent stocks and bonds lower as oil climbed, with escalating tensions in the Middle East driving US crude near $86 and lifting Treasury 10-year yields to the highest since January 2025, and the S&amp;P 500 trimmed its August advance. Against this volatile, AI-and-rates-driven backdrop, the benchmark's monthly return outpaced the fund's 1.14% result, while the fund's stronger 14.20% one-year return against the benchmark's 12.70% points to relative positioning that held up better over the full year than in this single, choppy month.</w:t>
      </w:r>
    </w:p>
    <w:p>
      <w:pPr>
        <w:pStyle w:val="Heading2"/>
      </w:pPr>
      <w:r>
        <w:rPr>
          <w:rFonts w:ascii="Aptos" w:hAnsi="Aptos"/>
          <w:color w:val="1A2E3B"/>
        </w:rPr>
        <w:t>Attribution commentary</w:t>
      </w:r>
      <w:r>
        <w:rPr>
          <w:rFonts w:ascii="Aptos" w:hAnsi="Aptos"/>
          <w:b w:val="0"/>
          <w:i/>
          <w:color w:val="2E6B5E"/>
          <w:sz w:val="16"/>
        </w:rPr>
        <w:t xml:space="preserve">  [AI-drafted]</w:t>
      </w:r>
    </w:p>
    <w:p>
      <w:r>
        <w:rPr>
          <w:rFonts w:ascii="Aptos" w:hAnsi="Aptos"/>
        </w:rPr>
        <w:t>Information Technology was the largest drag on relative performance at -0.83%, consistent with the broader chip-led rout through August 2026: a selloff in chipmakers sent stocks lower as growing anxiety about inflation and rising government debt kept bond yields elevated, with a closely watched gauge of semiconductor firms down by 5%, while commentary through the month noted that investors were already fretting that AI hype had inflated a bubble in stocks, adding to existing concerns over valuation and momentum. Industrials, the second-largest detractor at -0.58%, sat alongside technology in the AI capex complex, with reporting noting that AI hardware continued to drive August's increase in import prices, as it has throughout the year, and companies faced higher input costs and rising expenses tied to the AI buildout. Energy's -0.09% effect came against a backdrop of elevated but volatile oil prices, with crude settling around $85, with the US and Iran stuck in a deadlock over control of the Strait of Hormuz, a geopolitical overhang that also fed into the industrial input-cost pressures noted above. On the positive side, the more defensive complex, Utilities (+0.15%), Financials (+0.09%), Real Estate (+0.08%), Health Care (+0.07%) and Materials (+0.05%), benefited from the same rotation away from AI-exposed growth names, with one Bloomberg piece from early August observing that if AI mania has heightened anxieties, the antidote may be as mundane as real-world assets, waste-management companies and cash, a description consistent with money moving into steadier, less AI-levered parts of the market during the month.</w:t>
      </w:r>
    </w:p>
    <w:p>
      <w:pPr>
        <w:pStyle w:val="Heading2"/>
      </w:pPr>
      <w:r>
        <w:rPr>
          <w:rFonts w:ascii="Aptos" w:hAnsi="Aptos"/>
          <w:color w:val="1A2E3B"/>
        </w:rPr>
        <w:t>Outlook</w:t>
      </w:r>
      <w:r>
        <w:rPr>
          <w:rFonts w:ascii="Aptos" w:hAnsi="Aptos"/>
          <w:b w:val="0"/>
          <w:i/>
          <w:color w:val="2E6B5E"/>
          <w:sz w:val="16"/>
        </w:rPr>
        <w:t xml:space="preserve">  [AI-drafted]</w:t>
      </w:r>
    </w:p>
    <w:p>
      <w:r>
        <w:rPr>
          <w:rFonts w:ascii="Aptos" w:hAnsi="Aptos"/>
        </w:rPr>
        <w:t>Heading into the period after 31 August 2026, the fund's substantial underweight to information technology (-5.1%) sits against a backdrop where equity trading revenue at the largest US banks was still forecast to jump strongly in 2026, even as commentators flagged concentration risk in AI-linked names: the July FOMC minutes recorded that high equity valuations of AI-linked firms reflected favorable assessments of the sector's long-term earnings outlook, with participants noting the risk that major downward revisions could lead to a broad-based repricing of assets. That caution was echoed in markets during the period, when semiconductor companies that had led the market advance were hit with a wave of doubts about the sustainability of the AI-driven rally, a dynamic directly relevant to the fund's below-benchmark technology exposure. The fund's largest active tilt, the +8.3% overweight to financials, comes as the ECB's Financial Stability Review noted that sound fundamentals and expectations of higher dividends had supported a rise in banks' price-to-book valuations from early 2025, though rising concerns about AI disruption and private-market exposure triggered a decline in bank stock valuations in early 2026, while Bloomberg reporting pointed to Wall Street banks pushing back their Federal Reserve rate-cut forecasts as jobs and inflation data made a case for the Fed to keep rates on hold until at least the end of the year, a rate path that bears on the net interest margin outlook embedded in that overweight. The +4.5% industrials overweight aligns with strategists' framing of defence and infrastructure as a structural rather than cyclical theme, with one Bloomberg Indices commentary arguing that as geopolitical competition intensifies, defence policy is being recalibrated toward resilience, regional stability, and control over critical inputs, extending into energy security, critical materials, the grid, and supply-chain infrastructure, though Bloomberg Intelligence also flagged that trade tariffs, softening demand and geopolitical uncertainty could be key risks for the cyclical and volatile industrial sector in 2026. The underweight to communication services (-3.5%) and to real estate (-1.7%) sit alongside broader market commentary that mega-cap concentration itself has become a live debate, with one Bloomberg Indices piece observing that concentration risks from the magnificent seven are prompting investors to reassess diversification, a consideration relevant given the benchmark's heavy weighting toward a small number of dominant technology and communications names.</w:t>
      </w:r>
    </w:p>
    <w:p>
      <w:pPr>
        <w:pStyle w:val="Heading2"/>
      </w:pPr>
      <w:r>
        <w:rPr>
          <w:rFonts w:ascii="Aptos" w:hAnsi="Aptos"/>
          <w:color w:val="1A2E3B"/>
        </w:rPr>
        <w:t>AI use and human review</w:t>
      </w:r>
    </w:p>
    <w:p>
      <w:r>
        <w:rPr>
          <w:rFonts w:ascii="Aptos" w:hAnsi="Aptos"/>
          <w:color w:val="555555"/>
          <w:sz w:val="17"/>
        </w:rPr>
        <w:t>This report was assembled by an automated reporting system and is a draft until a person approves it. Nothing produced here reaches a reader on the system's own say-so.</w:t>
      </w:r>
    </w:p>
    <w:p>
      <w:r>
        <w:rPr>
          <w:rFonts w:ascii="Aptos" w:hAnsi="Aptos"/>
          <w:color w:val="555555"/>
          <w:sz w:val="17"/>
        </w:rPr>
        <w:t>The passages marked AI-drafted were written by a language model from sources recorded against this report, which the reviewer reads beside the text before approving it. The model is never asked what the fund returned — every figure in the tables came from the manager's own data — and a model-written passage citing no source is blocked from approval rather than published with a caveat.</w:t>
      </w:r>
    </w:p>
    <w:p>
      <w:r>
        <w:rPr>
          <w:rFonts w:ascii="Aptos" w:hAnsi="Aptos"/>
          <w:color w:val="555555"/>
          <w:sz w:val="17"/>
        </w:rPr>
        <w:t>Before this report is issued, a reviewer reads the draft, signs off one by one on any source found outside the approved list, and records the approval against their own name. What was changed, by whom, and when is kept with the report.</w:t>
      </w:r>
    </w:p>
    <w:p>
      <w:r>
        <w:rPr>
          <w:i/>
          <w:color w:val="808080"/>
          <w:sz w:val="17"/>
        </w:rPr>
        <w:t>Draft generated 2026-09-02 — For internal review only, not for distribution.</w:t>
      </w:r>
    </w:p>
    <w:sectPr w:rsidR="00FC693F" w:rsidRPr="0006063C" w:rsidSect="00034616">
      <w:pgSz w:w="12240" w:h="15840"/>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