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Written for: Savvy wholesale investors.</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Microsoft, ASML Holding, Novo Nordisk. Every resulting statement is labelled and footnoted to the source it came from.</w:t>
      </w:r>
    </w:p>
    <w:p>
      <w:pPr>
        <w:pStyle w:val="ListBullet"/>
        <w:ind w:left="454"/>
      </w:pPr>
      <w:r>
        <w:rPr>
          <w:rFonts w:ascii="Aptos" w:hAnsi="Aptos"/>
          <w:color w:val="6B541B"/>
          <w:sz w:val="19"/>
        </w:rPr>
        <w:t>Market commentary, attribution commentary and outlook were drafted by an AI model from the fund's own figures and current market reporting. Every resulting statement is labelled and footnoted to the source it came from.</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+1.14</w:t>
            </w:r>
          </w:p>
        </w:tc>
        <w:tc>
          <w:tcPr>
            <w:tcW w:type="dxa" w:w="1984"/>
          </w:tcPr>
          <w:p>
            <w:r>
              <w:rPr>
                <w:rFonts w:ascii="Aptos" w:hAnsi="Aptos"/>
                <w:sz w:val="20"/>
              </w:rPr>
              <w:t>+2.58</w:t>
            </w:r>
          </w:p>
        </w:tc>
        <w:tc>
          <w:tcPr>
            <w:tcW w:type="dxa" w:w="1701"/>
          </w:tcPr>
          <w:p>
            <w:r>
              <w:rPr>
                <w:rFonts w:ascii="Aptos" w:hAnsi="Aptos"/>
                <w:sz w:val="20"/>
              </w:rPr>
              <w:t>-1.44</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-1.43%</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Utilities</w:t>
            </w:r>
          </w:p>
        </w:tc>
        <w:tc>
          <w:tcPr>
            <w:tcW w:type="dxa" w:w="1984"/>
          </w:tcPr>
          <w:p>
            <w:r>
              <w:rPr>
                <w:rFonts w:ascii="Aptos" w:hAnsi="Aptos"/>
                <w:sz w:val="20"/>
              </w:rPr>
              <w:t>+0.15</w:t>
            </w:r>
          </w:p>
        </w:tc>
        <w:tc>
          <w:tcPr>
            <w:tcW w:type="dxa" w:w="1701"/>
          </w:tcPr>
          <w:p>
            <w:r>
              <w:rPr>
                <w:rFonts w:ascii="Aptos" w:hAnsi="Aptos"/>
                <w:sz w:val="20"/>
              </w:rPr>
              <w:t>+0.00</w:t>
            </w:r>
          </w:p>
        </w:tc>
        <w:tc>
          <w:tcPr>
            <w:tcW w:type="dxa" w:w="1984"/>
          </w:tcPr>
          <w:p>
            <w:r>
              <w:rPr>
                <w:rFonts w:ascii="Aptos" w:hAnsi="Aptos"/>
                <w:sz w:val="20"/>
              </w:rPr>
              <w:t>+0.15</w:t>
            </w:r>
          </w:p>
        </w:tc>
      </w:tr>
      <w:tr>
        <w:tc>
          <w:tcPr>
            <w:tcW w:type="dxa" w:w="3118"/>
          </w:tcPr>
          <w:p>
            <w:r>
              <w:rPr>
                <w:rFonts w:ascii="Aptos" w:hAnsi="Aptos"/>
                <w:sz w:val="20"/>
              </w:rPr>
              <w:t>Financials</w:t>
            </w:r>
          </w:p>
        </w:tc>
        <w:tc>
          <w:tcPr>
            <w:tcW w:type="dxa" w:w="1984"/>
          </w:tcPr>
          <w:p>
            <w:r>
              <w:rPr>
                <w:rFonts w:ascii="Aptos" w:hAnsi="Aptos"/>
                <w:sz w:val="20"/>
              </w:rPr>
              <w:t>-0.14</w:t>
            </w:r>
          </w:p>
        </w:tc>
        <w:tc>
          <w:tcPr>
            <w:tcW w:type="dxa" w:w="1701"/>
          </w:tcPr>
          <w:p>
            <w:r>
              <w:rPr>
                <w:rFonts w:ascii="Aptos" w:hAnsi="Aptos"/>
                <w:sz w:val="20"/>
              </w:rPr>
              <w:t>+0.24</w:t>
            </w:r>
          </w:p>
        </w:tc>
        <w:tc>
          <w:tcPr>
            <w:tcW w:type="dxa" w:w="1984"/>
          </w:tcPr>
          <w:p>
            <w:r>
              <w:rPr>
                <w:rFonts w:ascii="Aptos" w:hAnsi="Aptos"/>
                <w:sz w:val="20"/>
              </w:rPr>
              <w:t>+0.09</w:t>
            </w:r>
          </w:p>
        </w:tc>
      </w:tr>
      <w:tr>
        <w:tc>
          <w:tcPr>
            <w:tcW w:type="dxa" w:w="3118"/>
          </w:tcPr>
          <w:p>
            <w:r>
              <w:rPr>
                <w:rFonts w:ascii="Aptos" w:hAnsi="Aptos"/>
                <w:sz w:val="20"/>
              </w:rPr>
              <w:t>Real Estate</w:t>
            </w:r>
          </w:p>
        </w:tc>
        <w:tc>
          <w:tcPr>
            <w:tcW w:type="dxa" w:w="1984"/>
          </w:tcPr>
          <w:p>
            <w:r>
              <w:rPr>
                <w:rFonts w:ascii="Aptos" w:hAnsi="Aptos"/>
                <w:sz w:val="20"/>
              </w:rPr>
              <w:t>+0.08</w:t>
            </w:r>
          </w:p>
        </w:tc>
        <w:tc>
          <w:tcPr>
            <w:tcW w:type="dxa" w:w="1701"/>
          </w:tcPr>
          <w:p>
            <w:r>
              <w:rPr>
                <w:rFonts w:ascii="Aptos" w:hAnsi="Aptos"/>
                <w:sz w:val="20"/>
              </w:rPr>
              <w:t>+0.00</w:t>
            </w:r>
          </w:p>
        </w:tc>
        <w:tc>
          <w:tcPr>
            <w:tcW w:type="dxa" w:w="1984"/>
          </w:tcPr>
          <w:p>
            <w:r>
              <w:rPr>
                <w:rFonts w:ascii="Aptos" w:hAnsi="Aptos"/>
                <w:sz w:val="20"/>
              </w:rPr>
              <w:t>+0.08</w:t>
            </w:r>
          </w:p>
        </w:tc>
      </w:tr>
      <w:tr>
        <w:tc>
          <w:tcPr>
            <w:tcW w:type="dxa" w:w="3118"/>
          </w:tcPr>
          <w:p>
            <w:r>
              <w:rPr>
                <w:rFonts w:ascii="Aptos" w:hAnsi="Aptos"/>
                <w:sz w:val="20"/>
              </w:rPr>
              <w:t>Health Care</w:t>
            </w:r>
          </w:p>
        </w:tc>
        <w:tc>
          <w:tcPr>
            <w:tcW w:type="dxa" w:w="1984"/>
          </w:tcPr>
          <w:p>
            <w:r>
              <w:rPr>
                <w:rFonts w:ascii="Aptos" w:hAnsi="Aptos"/>
                <w:sz w:val="20"/>
              </w:rPr>
              <w:t>+0.06</w:t>
            </w:r>
          </w:p>
        </w:tc>
        <w:tc>
          <w:tcPr>
            <w:tcW w:type="dxa" w:w="1701"/>
          </w:tcPr>
          <w:p>
            <w:r>
              <w:rPr>
                <w:rFonts w:ascii="Aptos" w:hAnsi="Aptos"/>
                <w:sz w:val="20"/>
              </w:rPr>
              <w:t>+0.02</w:t>
            </w:r>
          </w:p>
        </w:tc>
        <w:tc>
          <w:tcPr>
            <w:tcW w:type="dxa" w:w="1984"/>
          </w:tcPr>
          <w:p>
            <w:r>
              <w:rPr>
                <w:rFonts w:ascii="Aptos" w:hAnsi="Aptos"/>
                <w:sz w:val="20"/>
              </w:rPr>
              <w:t>+0.07</w:t>
            </w:r>
          </w:p>
        </w:tc>
      </w:tr>
      <w:tr>
        <w:tc>
          <w:tcPr>
            <w:tcW w:type="dxa" w:w="3118"/>
          </w:tcPr>
          <w:p>
            <w:r>
              <w:rPr>
                <w:rFonts w:ascii="Aptos" w:hAnsi="Aptos"/>
                <w:sz w:val="20"/>
              </w:rPr>
              <w:t>Materials</w:t>
            </w:r>
          </w:p>
        </w:tc>
        <w:tc>
          <w:tcPr>
            <w:tcW w:type="dxa" w:w="1984"/>
          </w:tcPr>
          <w:p>
            <w:r>
              <w:rPr>
                <w:rFonts w:ascii="Aptos" w:hAnsi="Aptos"/>
                <w:sz w:val="20"/>
              </w:rPr>
              <w:t>-0.00</w:t>
            </w:r>
          </w:p>
        </w:tc>
        <w:tc>
          <w:tcPr>
            <w:tcW w:type="dxa" w:w="1701"/>
          </w:tcPr>
          <w:p>
            <w:r>
              <w:rPr>
                <w:rFonts w:ascii="Aptos" w:hAnsi="Aptos"/>
                <w:sz w:val="20"/>
              </w:rPr>
              <w:t>+0.05</w:t>
            </w:r>
          </w:p>
        </w:tc>
        <w:tc>
          <w:tcPr>
            <w:tcW w:type="dxa" w:w="1984"/>
          </w:tcPr>
          <w:p>
            <w:r>
              <w:rPr>
                <w:rFonts w:ascii="Aptos" w:hAnsi="Aptos"/>
                <w:sz w:val="20"/>
              </w:rPr>
              <w:t>+0.05</w:t>
            </w:r>
          </w:p>
        </w:tc>
      </w:tr>
      <w:tr>
        <w:tc>
          <w:tcPr>
            <w:tcW w:type="dxa" w:w="3118"/>
          </w:tcPr>
          <w:p>
            <w:r>
              <w:rPr>
                <w:rFonts w:ascii="Aptos" w:hAnsi="Aptos"/>
                <w:sz w:val="20"/>
              </w:rPr>
              <w:t>Cash</w:t>
            </w:r>
          </w:p>
        </w:tc>
        <w:tc>
          <w:tcPr>
            <w:tcW w:type="dxa" w:w="1984"/>
          </w:tcPr>
          <w:p>
            <w:r>
              <w:rPr>
                <w:rFonts w:ascii="Aptos" w:hAnsi="Aptos"/>
                <w:sz w:val="20"/>
              </w:rPr>
              <w:t>-0.01</w:t>
            </w:r>
          </w:p>
        </w:tc>
        <w:tc>
          <w:tcPr>
            <w:tcW w:type="dxa" w:w="1701"/>
          </w:tcPr>
          <w:p>
            <w:r>
              <w:rPr>
                <w:rFonts w:ascii="Aptos" w:hAnsi="Aptos"/>
                <w:sz w:val="20"/>
              </w:rPr>
              <w:t>+0.00</w:t>
            </w:r>
          </w:p>
        </w:tc>
        <w:tc>
          <w:tcPr>
            <w:tcW w:type="dxa" w:w="1984"/>
          </w:tcPr>
          <w:p>
            <w:r>
              <w:rPr>
                <w:rFonts w:ascii="Aptos" w:hAnsi="Aptos"/>
                <w:sz w:val="20"/>
              </w:rPr>
              <w:t>-0.01</w:t>
            </w:r>
          </w:p>
        </w:tc>
      </w:tr>
      <w:tr>
        <w:tc>
          <w:tcPr>
            <w:tcW w:type="dxa" w:w="3118"/>
          </w:tcPr>
          <w:p>
            <w:r>
              <w:rPr>
                <w:rFonts w:ascii="Aptos" w:hAnsi="Aptos"/>
                <w:sz w:val="20"/>
              </w:rPr>
              <w:t>Consumer Staples</w:t>
            </w:r>
          </w:p>
        </w:tc>
        <w:tc>
          <w:tcPr>
            <w:tcW w:type="dxa" w:w="1984"/>
          </w:tcPr>
          <w:p>
            <w:r>
              <w:rPr>
                <w:rFonts w:ascii="Aptos" w:hAnsi="Aptos"/>
                <w:sz w:val="20"/>
              </w:rPr>
              <w:t>+0.05</w:t>
            </w:r>
          </w:p>
        </w:tc>
        <w:tc>
          <w:tcPr>
            <w:tcW w:type="dxa" w:w="1701"/>
          </w:tcPr>
          <w:p>
            <w:r>
              <w:rPr>
                <w:rFonts w:ascii="Aptos" w:hAnsi="Aptos"/>
                <w:sz w:val="20"/>
              </w:rPr>
              <w:t>-0.08</w:t>
            </w:r>
          </w:p>
        </w:tc>
        <w:tc>
          <w:tcPr>
            <w:tcW w:type="dxa" w:w="1984"/>
          </w:tcPr>
          <w:p>
            <w:r>
              <w:rPr>
                <w:rFonts w:ascii="Aptos" w:hAnsi="Aptos"/>
                <w:sz w:val="20"/>
              </w:rPr>
              <w:t>-0.04</w:t>
            </w:r>
          </w:p>
        </w:tc>
      </w:tr>
      <w:tr>
        <w:tc>
          <w:tcPr>
            <w:tcW w:type="dxa" w:w="3118"/>
          </w:tcPr>
          <w:p>
            <w:r>
              <w:rPr>
                <w:rFonts w:ascii="Aptos" w:hAnsi="Aptos"/>
                <w:sz w:val="20"/>
              </w:rPr>
              <w:t>Communication Services</w:t>
            </w:r>
          </w:p>
        </w:tc>
        <w:tc>
          <w:tcPr>
            <w:tcW w:type="dxa" w:w="1984"/>
          </w:tcPr>
          <w:p>
            <w:r>
              <w:rPr>
                <w:rFonts w:ascii="Aptos" w:hAnsi="Aptos"/>
                <w:sz w:val="20"/>
              </w:rPr>
              <w:t>+0.08</w:t>
            </w:r>
          </w:p>
        </w:tc>
        <w:tc>
          <w:tcPr>
            <w:tcW w:type="dxa" w:w="1701"/>
          </w:tcPr>
          <w:p>
            <w:r>
              <w:rPr>
                <w:rFonts w:ascii="Aptos" w:hAnsi="Aptos"/>
                <w:sz w:val="20"/>
              </w:rPr>
              <w:t>-0.12</w:t>
            </w:r>
          </w:p>
        </w:tc>
        <w:tc>
          <w:tcPr>
            <w:tcW w:type="dxa" w:w="1984"/>
          </w:tcPr>
          <w:p>
            <w:r>
              <w:rPr>
                <w:rFonts w:ascii="Aptos" w:hAnsi="Aptos"/>
                <w:sz w:val="20"/>
              </w:rPr>
              <w:t>-0.04</w:t>
            </w:r>
          </w:p>
        </w:tc>
      </w:tr>
      <w:tr>
        <w:tc>
          <w:tcPr>
            <w:tcW w:type="dxa" w:w="3118"/>
          </w:tcPr>
          <w:p>
            <w:r>
              <w:rPr>
                <w:rFonts w:ascii="Aptos" w:hAnsi="Aptos"/>
                <w:sz w:val="20"/>
              </w:rPr>
              <w:t>Energy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-0.33</w:t>
            </w:r>
          </w:p>
        </w:tc>
        <w:tc>
          <w:tcPr>
            <w:tcW w:type="dxa" w:w="1984"/>
          </w:tcPr>
          <w:p>
            <w:r>
              <w:rPr>
                <w:rFonts w:ascii="Aptos" w:hAnsi="Aptos"/>
                <w:sz w:val="20"/>
              </w:rPr>
              <w:t>-0.28</w:t>
            </w:r>
          </w:p>
        </w:tc>
      </w:tr>
      <w:tr>
        <w:tc>
          <w:tcPr>
            <w:tcW w:type="dxa" w:w="3118"/>
          </w:tcPr>
          <w:p>
            <w:r>
              <w:rPr>
                <w:rFonts w:ascii="Aptos" w:hAnsi="Aptos"/>
                <w:sz w:val="20"/>
              </w:rPr>
              <w:t>Industrials</w:t>
            </w:r>
          </w:p>
        </w:tc>
        <w:tc>
          <w:tcPr>
            <w:tcW w:type="dxa" w:w="1984"/>
          </w:tcPr>
          <w:p>
            <w:r>
              <w:rPr>
                <w:rFonts w:ascii="Aptos" w:hAnsi="Aptos"/>
                <w:sz w:val="20"/>
              </w:rPr>
              <w:t>-0.15</w:t>
            </w:r>
          </w:p>
        </w:tc>
        <w:tc>
          <w:tcPr>
            <w:tcW w:type="dxa" w:w="1701"/>
          </w:tcPr>
          <w:p>
            <w:r>
              <w:rPr>
                <w:rFonts w:ascii="Aptos" w:hAnsi="Aptos"/>
                <w:sz w:val="20"/>
              </w:rPr>
              <w:t>-0.44</w:t>
            </w:r>
          </w:p>
        </w:tc>
        <w:tc>
          <w:tcPr>
            <w:tcW w:type="dxa" w:w="1984"/>
          </w:tcPr>
          <w:p>
            <w:r>
              <w:rPr>
                <w:rFonts w:ascii="Aptos" w:hAnsi="Aptos"/>
                <w:sz w:val="20"/>
              </w:rPr>
              <w:t>-0.58</w:t>
            </w:r>
          </w:p>
        </w:tc>
      </w:tr>
      <w:tr>
        <w:tc>
          <w:tcPr>
            <w:tcW w:type="dxa" w:w="3118"/>
          </w:tcPr>
          <w:p>
            <w:r>
              <w:rPr>
                <w:rFonts w:ascii="Aptos" w:hAnsi="Aptos"/>
                <w:sz w:val="20"/>
              </w:rPr>
              <w:t>Information Technology</w:t>
            </w:r>
          </w:p>
        </w:tc>
        <w:tc>
          <w:tcPr>
            <w:tcW w:type="dxa" w:w="1984"/>
          </w:tcPr>
          <w:p>
            <w:r>
              <w:rPr>
                <w:rFonts w:ascii="Aptos" w:hAnsi="Aptos"/>
                <w:sz w:val="20"/>
              </w:rPr>
              <w:t>-0.18</w:t>
            </w:r>
          </w:p>
        </w:tc>
        <w:tc>
          <w:tcPr>
            <w:tcW w:type="dxa" w:w="1701"/>
          </w:tcPr>
          <w:p>
            <w:r>
              <w:rPr>
                <w:rFonts w:ascii="Aptos" w:hAnsi="Aptos"/>
                <w:sz w:val="20"/>
              </w:rPr>
              <w:t>-0.65</w:t>
            </w:r>
          </w:p>
        </w:tc>
        <w:tc>
          <w:tcPr>
            <w:tcW w:type="dxa" w:w="1984"/>
          </w:tcPr>
          <w:p>
            <w:r>
              <w:rPr>
                <w:rFonts w:ascii="Aptos" w:hAnsi="Aptos"/>
                <w:sz w:val="20"/>
              </w:rPr>
              <w:t>-0.83</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Utilities</w:t>
            </w:r>
          </w:p>
        </w:tc>
        <w:tc>
          <w:tcPr>
            <w:tcW w:type="dxa" w:w="1701"/>
          </w:tcPr>
          <w:p>
            <w:r>
              <w:rPr>
                <w:rFonts w:ascii="Aptos" w:hAnsi="Aptos"/>
                <w:sz w:val="20"/>
              </w:rPr>
              <w:t>0.0</w:t>
            </w:r>
          </w:p>
        </w:tc>
        <w:tc>
          <w:tcPr>
            <w:tcW w:type="dxa" w:w="1984"/>
          </w:tcPr>
          <w:p>
            <w:r>
              <w:rPr>
                <w:rFonts w:ascii="Aptos" w:hAnsi="Aptos"/>
                <w:sz w:val="20"/>
              </w:rPr>
              <w:t>2.5</w:t>
            </w:r>
          </w:p>
        </w:tc>
        <w:tc>
          <w:tcPr>
            <w:tcW w:type="dxa" w:w="1701"/>
          </w:tcPr>
          <w:p>
            <w:r>
              <w:rPr>
                <w:rFonts w:ascii="Aptos" w:hAnsi="Aptos"/>
                <w:sz w:val="20"/>
              </w:rPr>
              <w:t>-2.5</w:t>
            </w:r>
          </w:p>
        </w:tc>
      </w:tr>
      <w:tr>
        <w:tc>
          <w:tcPr>
            <w:tcW w:type="dxa" w:w="3118"/>
          </w:tcPr>
          <w:p>
            <w:r>
              <w:rPr>
                <w:rFonts w:ascii="Aptos" w:hAnsi="Aptos"/>
                <w:sz w:val="20"/>
              </w:rPr>
              <w:t>Financials</w:t>
            </w:r>
          </w:p>
        </w:tc>
        <w:tc>
          <w:tcPr>
            <w:tcW w:type="dxa" w:w="1701"/>
          </w:tcPr>
          <w:p>
            <w:r>
              <w:rPr>
                <w:rFonts w:ascii="Aptos" w:hAnsi="Aptos"/>
                <w:sz w:val="20"/>
              </w:rPr>
              <w:t>24.8</w:t>
            </w:r>
          </w:p>
        </w:tc>
        <w:tc>
          <w:tcPr>
            <w:tcW w:type="dxa" w:w="1984"/>
          </w:tcPr>
          <w:p>
            <w:r>
              <w:rPr>
                <w:rFonts w:ascii="Aptos" w:hAnsi="Aptos"/>
                <w:sz w:val="20"/>
              </w:rPr>
              <w:t>16.6</w:t>
            </w:r>
          </w:p>
        </w:tc>
        <w:tc>
          <w:tcPr>
            <w:tcW w:type="dxa" w:w="1701"/>
          </w:tcPr>
          <w:p>
            <w:r>
              <w:rPr>
                <w:rFonts w:ascii="Aptos" w:hAnsi="Aptos"/>
                <w:sz w:val="20"/>
              </w:rPr>
              <w:t>+8.3</w:t>
            </w:r>
          </w:p>
        </w:tc>
      </w:tr>
      <w:tr>
        <w:tc>
          <w:tcPr>
            <w:tcW w:type="dxa" w:w="3118"/>
          </w:tcPr>
          <w:p>
            <w:r>
              <w:rPr>
                <w:rFonts w:ascii="Aptos" w:hAnsi="Aptos"/>
                <w:sz w:val="20"/>
              </w:rPr>
              <w:t>Real Estate</w:t>
            </w:r>
          </w:p>
        </w:tc>
        <w:tc>
          <w:tcPr>
            <w:tcW w:type="dxa" w:w="1701"/>
          </w:tcPr>
          <w:p>
            <w:r>
              <w:rPr>
                <w:rFonts w:ascii="Aptos" w:hAnsi="Aptos"/>
                <w:sz w:val="20"/>
              </w:rPr>
              <w:t>0.0</w:t>
            </w:r>
          </w:p>
        </w:tc>
        <w:tc>
          <w:tcPr>
            <w:tcW w:type="dxa" w:w="1984"/>
          </w:tcPr>
          <w:p>
            <w:r>
              <w:rPr>
                <w:rFonts w:ascii="Aptos" w:hAnsi="Aptos"/>
                <w:sz w:val="20"/>
              </w:rPr>
              <w:t>1.7</w:t>
            </w:r>
          </w:p>
        </w:tc>
        <w:tc>
          <w:tcPr>
            <w:tcW w:type="dxa" w:w="1701"/>
          </w:tcPr>
          <w:p>
            <w:r>
              <w:rPr>
                <w:rFonts w:ascii="Aptos" w:hAnsi="Aptos"/>
                <w:sz w:val="20"/>
              </w:rPr>
              <w:t>-1.7</w:t>
            </w:r>
          </w:p>
        </w:tc>
      </w:tr>
      <w:tr>
        <w:tc>
          <w:tcPr>
            <w:tcW w:type="dxa" w:w="3118"/>
          </w:tcPr>
          <w:p>
            <w:r>
              <w:rPr>
                <w:rFonts w:ascii="Aptos" w:hAnsi="Aptos"/>
                <w:sz w:val="20"/>
              </w:rPr>
              <w:t>Health Care</w:t>
            </w:r>
          </w:p>
        </w:tc>
        <w:tc>
          <w:tcPr>
            <w:tcW w:type="dxa" w:w="1701"/>
          </w:tcPr>
          <w:p>
            <w:r>
              <w:rPr>
                <w:rFonts w:ascii="Aptos" w:hAnsi="Aptos"/>
                <w:sz w:val="20"/>
              </w:rPr>
              <w:t>10.5</w:t>
            </w:r>
          </w:p>
        </w:tc>
        <w:tc>
          <w:tcPr>
            <w:tcW w:type="dxa" w:w="1984"/>
          </w:tcPr>
          <w:p>
            <w:r>
              <w:rPr>
                <w:rFonts w:ascii="Aptos" w:hAnsi="Aptos"/>
                <w:sz w:val="20"/>
              </w:rPr>
              <w:t>9.2</w:t>
            </w:r>
          </w:p>
        </w:tc>
        <w:tc>
          <w:tcPr>
            <w:tcW w:type="dxa" w:w="1701"/>
          </w:tcPr>
          <w:p>
            <w:r>
              <w:rPr>
                <w:rFonts w:ascii="Aptos" w:hAnsi="Aptos"/>
                <w:sz w:val="20"/>
              </w:rPr>
              <w:t>+1.3</w:t>
            </w:r>
          </w:p>
        </w:tc>
      </w:tr>
      <w:tr>
        <w:tc>
          <w:tcPr>
            <w:tcW w:type="dxa" w:w="3118"/>
          </w:tcPr>
          <w:p>
            <w:r>
              <w:rPr>
                <w:rFonts w:ascii="Aptos" w:hAnsi="Aptos"/>
                <w:sz w:val="20"/>
              </w:rPr>
              <w:t>Materials</w:t>
            </w:r>
          </w:p>
        </w:tc>
        <w:tc>
          <w:tcPr>
            <w:tcW w:type="dxa" w:w="1701"/>
          </w:tcPr>
          <w:p>
            <w:r>
              <w:rPr>
                <w:rFonts w:ascii="Aptos" w:hAnsi="Aptos"/>
                <w:sz w:val="20"/>
              </w:rPr>
              <w:t>3.2</w:t>
            </w:r>
          </w:p>
        </w:tc>
        <w:tc>
          <w:tcPr>
            <w:tcW w:type="dxa" w:w="1984"/>
          </w:tcPr>
          <w:p>
            <w:r>
              <w:rPr>
                <w:rFonts w:ascii="Aptos" w:hAnsi="Aptos"/>
                <w:sz w:val="20"/>
              </w:rPr>
              <w:t>3.4</w:t>
            </w:r>
          </w:p>
        </w:tc>
        <w:tc>
          <w:tcPr>
            <w:tcW w:type="dxa" w:w="1701"/>
          </w:tcPr>
          <w:p>
            <w:r>
              <w:rPr>
                <w:rFonts w:ascii="Aptos" w:hAnsi="Aptos"/>
                <w:sz w:val="20"/>
              </w:rPr>
              <w:t>-0.2</w:t>
            </w:r>
          </w:p>
        </w:tc>
      </w:tr>
      <w:tr>
        <w:tc>
          <w:tcPr>
            <w:tcW w:type="dxa" w:w="3118"/>
          </w:tcPr>
          <w:p>
            <w:r>
              <w:rPr>
                <w:rFonts w:ascii="Aptos" w:hAnsi="Aptos"/>
                <w:sz w:val="20"/>
              </w:rPr>
              <w:t>Cash</w:t>
            </w:r>
          </w:p>
        </w:tc>
        <w:tc>
          <w:tcPr>
            <w:tcW w:type="dxa" w:w="1701"/>
          </w:tcPr>
          <w:p>
            <w:r>
              <w:rPr>
                <w:rFonts w:ascii="Aptos" w:hAnsi="Aptos"/>
                <w:sz w:val="20"/>
              </w:rPr>
              <w:t>0.7</w:t>
            </w:r>
          </w:p>
        </w:tc>
        <w:tc>
          <w:tcPr>
            <w:tcW w:type="dxa" w:w="1984"/>
          </w:tcPr>
          <w:p>
            <w:r>
              <w:rPr>
                <w:rFonts w:ascii="Aptos" w:hAnsi="Aptos"/>
                <w:sz w:val="20"/>
              </w:rPr>
              <w:t>0.0</w:t>
            </w:r>
          </w:p>
        </w:tc>
        <w:tc>
          <w:tcPr>
            <w:tcW w:type="dxa" w:w="1701"/>
          </w:tcPr>
          <w:p>
            <w:r>
              <w:rPr>
                <w:rFonts w:ascii="Aptos" w:hAnsi="Aptos"/>
                <w:sz w:val="20"/>
              </w:rPr>
              <w:t>+0.7</w:t>
            </w:r>
          </w:p>
        </w:tc>
      </w:tr>
      <w:tr>
        <w:tc>
          <w:tcPr>
            <w:tcW w:type="dxa" w:w="3118"/>
          </w:tcPr>
          <w:p>
            <w:r>
              <w:rPr>
                <w:rFonts w:ascii="Aptos" w:hAnsi="Aptos"/>
                <w:sz w:val="20"/>
              </w:rPr>
              <w:t>Consumer Staples</w:t>
            </w:r>
          </w:p>
        </w:tc>
        <w:tc>
          <w:tcPr>
            <w:tcW w:type="dxa" w:w="1701"/>
          </w:tcPr>
          <w:p>
            <w:r>
              <w:rPr>
                <w:rFonts w:ascii="Aptos" w:hAnsi="Aptos"/>
                <w:sz w:val="20"/>
              </w:rPr>
              <w:t>3.7</w:t>
            </w:r>
          </w:p>
        </w:tc>
        <w:tc>
          <w:tcPr>
            <w:tcW w:type="dxa" w:w="1984"/>
          </w:tcPr>
          <w:p>
            <w:r>
              <w:rPr>
                <w:rFonts w:ascii="Aptos" w:hAnsi="Aptos"/>
                <w:sz w:val="20"/>
              </w:rPr>
              <w:t>5.0</w:t>
            </w:r>
          </w:p>
        </w:tc>
        <w:tc>
          <w:tcPr>
            <w:tcW w:type="dxa" w:w="1701"/>
          </w:tcPr>
          <w:p>
            <w:r>
              <w:rPr>
                <w:rFonts w:ascii="Aptos" w:hAnsi="Aptos"/>
                <w:sz w:val="20"/>
              </w:rPr>
              <w:t>-1.3</w:t>
            </w:r>
          </w:p>
        </w:tc>
      </w:tr>
      <w:tr>
        <w:tc>
          <w:tcPr>
            <w:tcW w:type="dxa" w:w="3118"/>
          </w:tcPr>
          <w:p>
            <w:r>
              <w:rPr>
                <w:rFonts w:ascii="Aptos" w:hAnsi="Aptos"/>
                <w:sz w:val="20"/>
              </w:rPr>
              <w:t>Communication Services</w:t>
            </w:r>
          </w:p>
        </w:tc>
        <w:tc>
          <w:tcPr>
            <w:tcW w:type="dxa" w:w="1701"/>
          </w:tcPr>
          <w:p>
            <w:r>
              <w:rPr>
                <w:rFonts w:ascii="Aptos" w:hAnsi="Aptos"/>
                <w:sz w:val="20"/>
              </w:rPr>
              <w:t>4.5</w:t>
            </w:r>
          </w:p>
        </w:tc>
        <w:tc>
          <w:tcPr>
            <w:tcW w:type="dxa" w:w="1984"/>
          </w:tcPr>
          <w:p>
            <w:r>
              <w:rPr>
                <w:rFonts w:ascii="Aptos" w:hAnsi="Aptos"/>
                <w:sz w:val="20"/>
              </w:rPr>
              <w:t>8.0</w:t>
            </w:r>
          </w:p>
        </w:tc>
        <w:tc>
          <w:tcPr>
            <w:tcW w:type="dxa" w:w="1701"/>
          </w:tcPr>
          <w:p>
            <w:r>
              <w:rPr>
                <w:rFonts w:ascii="Aptos" w:hAnsi="Aptos"/>
                <w:sz w:val="20"/>
              </w:rPr>
              <w:t>-3.5</w:t>
            </w:r>
          </w:p>
        </w:tc>
      </w:tr>
      <w:tr>
        <w:tc>
          <w:tcPr>
            <w:tcW w:type="dxa" w:w="3118"/>
          </w:tcPr>
          <w:p>
            <w:r>
              <w:rPr>
                <w:rFonts w:ascii="Aptos" w:hAnsi="Aptos"/>
                <w:sz w:val="20"/>
              </w:rPr>
              <w:t>Energy</w:t>
            </w:r>
          </w:p>
        </w:tc>
        <w:tc>
          <w:tcPr>
            <w:tcW w:type="dxa" w:w="1701"/>
          </w:tcPr>
          <w:p>
            <w:r>
              <w:rPr>
                <w:rFonts w:ascii="Aptos" w:hAnsi="Aptos"/>
                <w:sz w:val="20"/>
              </w:rPr>
              <w:t>5.2</w:t>
            </w:r>
          </w:p>
        </w:tc>
        <w:tc>
          <w:tcPr>
            <w:tcW w:type="dxa" w:w="1984"/>
          </w:tcPr>
          <w:p>
            <w:r>
              <w:rPr>
                <w:rFonts w:ascii="Aptos" w:hAnsi="Aptos"/>
                <w:sz w:val="20"/>
              </w:rPr>
              <w:t>4.0</w:t>
            </w:r>
          </w:p>
        </w:tc>
        <w:tc>
          <w:tcPr>
            <w:tcW w:type="dxa" w:w="1701"/>
          </w:tcPr>
          <w:p>
            <w:r>
              <w:rPr>
                <w:rFonts w:ascii="Aptos" w:hAnsi="Aptos"/>
                <w:sz w:val="20"/>
              </w:rPr>
              <w:t>+1.2</w:t>
            </w:r>
          </w:p>
        </w:tc>
      </w:tr>
      <w:tr>
        <w:tc>
          <w:tcPr>
            <w:tcW w:type="dxa" w:w="3118"/>
          </w:tcPr>
          <w:p>
            <w:r>
              <w:rPr>
                <w:rFonts w:ascii="Aptos" w:hAnsi="Aptos"/>
                <w:sz w:val="20"/>
              </w:rPr>
              <w:t>Consumer Discretionary</w:t>
            </w:r>
          </w:p>
        </w:tc>
        <w:tc>
          <w:tcPr>
            <w:tcW w:type="dxa" w:w="1701"/>
          </w:tcPr>
          <w:p>
            <w:r>
              <w:rPr>
                <w:rFonts w:ascii="Aptos" w:hAnsi="Aptos"/>
                <w:sz w:val="20"/>
              </w:rPr>
              <w:t>7.1</w:t>
            </w:r>
          </w:p>
        </w:tc>
        <w:tc>
          <w:tcPr>
            <w:tcW w:type="dxa" w:w="1984"/>
          </w:tcPr>
          <w:p>
            <w:r>
              <w:rPr>
                <w:rFonts w:ascii="Aptos" w:hAnsi="Aptos"/>
                <w:sz w:val="20"/>
              </w:rPr>
              <w:t>8.9</w:t>
            </w:r>
          </w:p>
        </w:tc>
        <w:tc>
          <w:tcPr>
            <w:tcW w:type="dxa" w:w="1701"/>
          </w:tcPr>
          <w:p>
            <w:r>
              <w:rPr>
                <w:rFonts w:ascii="Aptos" w:hAnsi="Aptos"/>
                <w:sz w:val="20"/>
              </w:rPr>
              <w:t>-1.8</w:t>
            </w:r>
          </w:p>
        </w:tc>
      </w:tr>
      <w:tr>
        <w:tc>
          <w:tcPr>
            <w:tcW w:type="dxa" w:w="3118"/>
          </w:tcPr>
          <w:p>
            <w:r>
              <w:rPr>
                <w:rFonts w:ascii="Aptos" w:hAnsi="Aptos"/>
                <w:sz w:val="20"/>
              </w:rPr>
              <w:t>Industrials</w:t>
            </w:r>
          </w:p>
        </w:tc>
        <w:tc>
          <w:tcPr>
            <w:tcW w:type="dxa" w:w="1701"/>
          </w:tcPr>
          <w:p>
            <w:r>
              <w:rPr>
                <w:rFonts w:ascii="Aptos" w:hAnsi="Aptos"/>
                <w:sz w:val="20"/>
              </w:rPr>
              <w:t>16.0</w:t>
            </w:r>
          </w:p>
        </w:tc>
        <w:tc>
          <w:tcPr>
            <w:tcW w:type="dxa" w:w="1984"/>
          </w:tcPr>
          <w:p>
            <w:r>
              <w:rPr>
                <w:rFonts w:ascii="Aptos" w:hAnsi="Aptos"/>
                <w:sz w:val="20"/>
              </w:rPr>
              <w:t>11.4</w:t>
            </w:r>
          </w:p>
        </w:tc>
        <w:tc>
          <w:tcPr>
            <w:tcW w:type="dxa" w:w="1701"/>
          </w:tcPr>
          <w:p>
            <w:r>
              <w:rPr>
                <w:rFonts w:ascii="Aptos" w:hAnsi="Aptos"/>
                <w:sz w:val="20"/>
              </w:rPr>
              <w:t>+4.5</w:t>
            </w:r>
          </w:p>
        </w:tc>
      </w:tr>
      <w:tr>
        <w:tc>
          <w:tcPr>
            <w:tcW w:type="dxa" w:w="3118"/>
          </w:tcPr>
          <w:p>
            <w:r>
              <w:rPr>
                <w:rFonts w:ascii="Aptos" w:hAnsi="Aptos"/>
                <w:sz w:val="20"/>
              </w:rPr>
              <w:t>Information Technology</w:t>
            </w:r>
          </w:p>
        </w:tc>
        <w:tc>
          <w:tcPr>
            <w:tcW w:type="dxa" w:w="1701"/>
          </w:tcPr>
          <w:p>
            <w:r>
              <w:rPr>
                <w:rFonts w:ascii="Aptos" w:hAnsi="Aptos"/>
                <w:sz w:val="20"/>
              </w:rPr>
              <w:t>24.4</w:t>
            </w:r>
          </w:p>
        </w:tc>
        <w:tc>
          <w:tcPr>
            <w:tcW w:type="dxa" w:w="1984"/>
          </w:tcPr>
          <w:p>
            <w:r>
              <w:rPr>
                <w:rFonts w:ascii="Aptos" w:hAnsi="Aptos"/>
                <w:sz w:val="20"/>
              </w:rPr>
              <w:t>29.5</w:t>
            </w:r>
          </w:p>
        </w:tc>
        <w:tc>
          <w:tcPr>
            <w:tcW w:type="dxa" w:w="1701"/>
          </w:tcPr>
          <w:p>
            <w:r>
              <w:rPr>
                <w:rFonts w:ascii="Aptos" w:hAnsi="Aptos"/>
                <w:sz w:val="20"/>
              </w:rPr>
              <w:t>-5.1</w:t>
            </w:r>
          </w:p>
        </w:tc>
      </w:tr>
    </w:tbl>
    <w:p/>
    <w:p>
      <w:pPr>
        <w:pStyle w:val="Heading1"/>
      </w:pPr>
      <w:r>
        <w:rPr>
          <w:rFonts w:ascii="Aptos" w:hAnsi="Aptos"/>
          <w:color w:val="1A2E3B"/>
        </w:rPr>
        <w:t>Attribution by country</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United States</w:t>
            </w:r>
          </w:p>
        </w:tc>
        <w:tc>
          <w:tcPr>
            <w:tcW w:type="dxa" w:w="1984"/>
          </w:tcPr>
          <w:p>
            <w:r>
              <w:rPr>
                <w:rFonts w:ascii="Aptos" w:hAnsi="Aptos"/>
                <w:sz w:val="20"/>
              </w:rPr>
              <w:t>-0.02</w:t>
            </w:r>
          </w:p>
        </w:tc>
        <w:tc>
          <w:tcPr>
            <w:tcW w:type="dxa" w:w="1701"/>
          </w:tcPr>
          <w:p>
            <w:r>
              <w:rPr>
                <w:rFonts w:ascii="Aptos" w:hAnsi="Aptos"/>
                <w:sz w:val="20"/>
              </w:rPr>
              <w:t>-1.12</w:t>
            </w:r>
          </w:p>
        </w:tc>
        <w:tc>
          <w:tcPr>
            <w:tcW w:type="dxa" w:w="1984"/>
          </w:tcPr>
          <w:p>
            <w:r>
              <w:rPr>
                <w:rFonts w:ascii="Aptos" w:hAnsi="Aptos"/>
                <w:sz w:val="20"/>
              </w:rPr>
              <w:t>-1.14</w:t>
            </w:r>
          </w:p>
        </w:tc>
      </w:tr>
      <w:tr>
        <w:tc>
          <w:tcPr>
            <w:tcW w:type="dxa" w:w="3118"/>
          </w:tcPr>
          <w:p>
            <w:r>
              <w:rPr>
                <w:rFonts w:ascii="Aptos" w:hAnsi="Aptos"/>
                <w:sz w:val="20"/>
              </w:rPr>
              <w:t>Japan</w:t>
            </w:r>
          </w:p>
        </w:tc>
        <w:tc>
          <w:tcPr>
            <w:tcW w:type="dxa" w:w="1984"/>
          </w:tcPr>
          <w:p>
            <w:r>
              <w:rPr>
                <w:rFonts w:ascii="Aptos" w:hAnsi="Aptos"/>
                <w:sz w:val="20"/>
              </w:rPr>
              <w:t>+0.02</w:t>
            </w:r>
          </w:p>
        </w:tc>
        <w:tc>
          <w:tcPr>
            <w:tcW w:type="dxa" w:w="1701"/>
          </w:tcPr>
          <w:p>
            <w:r>
              <w:rPr>
                <w:rFonts w:ascii="Aptos" w:hAnsi="Aptos"/>
                <w:sz w:val="20"/>
              </w:rPr>
              <w:t>-0.58</w:t>
            </w:r>
          </w:p>
        </w:tc>
        <w:tc>
          <w:tcPr>
            <w:tcW w:type="dxa" w:w="1984"/>
          </w:tcPr>
          <w:p>
            <w:r>
              <w:rPr>
                <w:rFonts w:ascii="Aptos" w:hAnsi="Aptos"/>
                <w:sz w:val="20"/>
              </w:rPr>
              <w:t>-0.56</w:t>
            </w:r>
          </w:p>
        </w:tc>
      </w:tr>
      <w:tr>
        <w:tc>
          <w:tcPr>
            <w:tcW w:type="dxa" w:w="3118"/>
          </w:tcPr>
          <w:p>
            <w:r>
              <w:rPr>
                <w:rFonts w:ascii="Aptos" w:hAnsi="Aptos"/>
                <w:sz w:val="20"/>
              </w:rPr>
              <w:t>Australia</w:t>
            </w:r>
          </w:p>
        </w:tc>
        <w:tc>
          <w:tcPr>
            <w:tcW w:type="dxa" w:w="1984"/>
          </w:tcPr>
          <w:p>
            <w:r>
              <w:rPr>
                <w:rFonts w:ascii="Aptos" w:hAnsi="Aptos"/>
                <w:sz w:val="20"/>
              </w:rPr>
              <w:t>+0.02</w:t>
            </w:r>
          </w:p>
        </w:tc>
        <w:tc>
          <w:tcPr>
            <w:tcW w:type="dxa" w:w="1701"/>
          </w:tcPr>
          <w:p>
            <w:r>
              <w:rPr>
                <w:rFonts w:ascii="Aptos" w:hAnsi="Aptos"/>
                <w:sz w:val="20"/>
              </w:rPr>
              <w:t>+0.25</w:t>
            </w:r>
          </w:p>
        </w:tc>
        <w:tc>
          <w:tcPr>
            <w:tcW w:type="dxa" w:w="1984"/>
          </w:tcPr>
          <w:p>
            <w:r>
              <w:rPr>
                <w:rFonts w:ascii="Aptos" w:hAnsi="Aptos"/>
                <w:sz w:val="20"/>
              </w:rPr>
              <w:t>+0.26</w:t>
            </w:r>
          </w:p>
        </w:tc>
      </w:tr>
      <w:tr>
        <w:tc>
          <w:tcPr>
            <w:tcW w:type="dxa" w:w="3118"/>
          </w:tcPr>
          <w:p>
            <w:r>
              <w:rPr>
                <w:rFonts w:ascii="Aptos" w:hAnsi="Aptos"/>
                <w:sz w:val="20"/>
              </w:rPr>
              <w:t>Germany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+0.13</w:t>
            </w:r>
          </w:p>
        </w:tc>
      </w:tr>
      <w:tr>
        <w:tc>
          <w:tcPr>
            <w:tcW w:type="dxa" w:w="3118"/>
          </w:tcPr>
          <w:p>
            <w:r>
              <w:rPr>
                <w:rFonts w:ascii="Aptos" w:hAnsi="Aptos"/>
                <w:sz w:val="20"/>
              </w:rPr>
              <w:t>Canada</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France</w:t>
            </w:r>
          </w:p>
        </w:tc>
        <w:tc>
          <w:tcPr>
            <w:tcW w:type="dxa" w:w="1984"/>
          </w:tcPr>
          <w:p>
            <w:r>
              <w:rPr>
                <w:rFonts w:ascii="Aptos" w:hAnsi="Aptos"/>
                <w:sz w:val="20"/>
              </w:rPr>
              <w:t>-0.29</w:t>
            </w:r>
          </w:p>
        </w:tc>
        <w:tc>
          <w:tcPr>
            <w:tcW w:type="dxa" w:w="1701"/>
          </w:tcPr>
          <w:p>
            <w:r>
              <w:rPr>
                <w:rFonts w:ascii="Aptos" w:hAnsi="Aptos"/>
                <w:sz w:val="20"/>
              </w:rPr>
              <w:t>+0.19</w:t>
            </w:r>
          </w:p>
        </w:tc>
        <w:tc>
          <w:tcPr>
            <w:tcW w:type="dxa" w:w="1984"/>
          </w:tcPr>
          <w:p>
            <w:r>
              <w:rPr>
                <w:rFonts w:ascii="Aptos" w:hAnsi="Aptos"/>
                <w:sz w:val="20"/>
              </w:rPr>
              <w:t>-0.09</w:t>
            </w:r>
          </w:p>
        </w:tc>
      </w:tr>
      <w:tr>
        <w:tc>
          <w:tcPr>
            <w:tcW w:type="dxa" w:w="3118"/>
          </w:tcPr>
          <w:p>
            <w:r>
              <w:rPr>
                <w:rFonts w:ascii="Aptos" w:hAnsi="Aptos"/>
                <w:sz w:val="20"/>
              </w:rPr>
              <w:t>United Kingdom</w:t>
            </w:r>
          </w:p>
        </w:tc>
        <w:tc>
          <w:tcPr>
            <w:tcW w:type="dxa" w:w="1984"/>
          </w:tcPr>
          <w:p>
            <w:r>
              <w:rPr>
                <w:rFonts w:ascii="Aptos" w:hAnsi="Aptos"/>
                <w:sz w:val="20"/>
              </w:rPr>
              <w:t>+0.03</w:t>
            </w:r>
          </w:p>
        </w:tc>
        <w:tc>
          <w:tcPr>
            <w:tcW w:type="dxa" w:w="1701"/>
          </w:tcPr>
          <w:p>
            <w:r>
              <w:rPr>
                <w:rFonts w:ascii="Aptos" w:hAnsi="Aptos"/>
                <w:sz w:val="20"/>
              </w:rPr>
              <w:t>-0.10</w:t>
            </w:r>
          </w:p>
        </w:tc>
        <w:tc>
          <w:tcPr>
            <w:tcW w:type="dxa" w:w="1984"/>
          </w:tcPr>
          <w:p>
            <w:r>
              <w:rPr>
                <w:rFonts w:ascii="Aptos" w:hAnsi="Aptos"/>
                <w:sz w:val="20"/>
              </w:rPr>
              <w:t>-0.07</w:t>
            </w:r>
          </w:p>
        </w:tc>
      </w:tr>
      <w:tr>
        <w:tc>
          <w:tcPr>
            <w:tcW w:type="dxa" w:w="3118"/>
          </w:tcPr>
          <w:p>
            <w:r>
              <w:rPr>
                <w:rFonts w:ascii="Aptos" w:hAnsi="Aptos"/>
                <w:sz w:val="20"/>
              </w:rPr>
              <w:t>Switzerland</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All other countries</w:t>
            </w:r>
          </w:p>
        </w:tc>
        <w:tc>
          <w:tcPr>
            <w:tcW w:type="dxa" w:w="1984"/>
          </w:tcPr>
          <w:p>
            <w:r>
              <w:rPr>
                <w:rFonts w:ascii="Aptos" w:hAnsi="Aptos"/>
                <w:sz w:val="20"/>
              </w:rPr>
              <w:t>+0.10</w:t>
            </w:r>
          </w:p>
        </w:tc>
        <w:tc>
          <w:tcPr>
            <w:tcW w:type="dxa" w:w="1701"/>
          </w:tcPr>
          <w:p>
            <w:r>
              <w:rPr>
                <w:rFonts w:ascii="Aptos" w:hAnsi="Aptos"/>
                <w:sz w:val="20"/>
              </w:rPr>
              <w:t>-0.04</w:t>
            </w:r>
          </w:p>
        </w:tc>
        <w:tc>
          <w:tcPr>
            <w:tcW w:type="dxa" w:w="1984"/>
          </w:tcPr>
          <w:p>
            <w:r>
              <w:rPr>
                <w:rFonts w:ascii="Aptos" w:hAnsi="Aptos"/>
                <w:sz w:val="20"/>
              </w:rPr>
              <w:t>+0.06</w:t>
            </w:r>
          </w:p>
        </w:tc>
      </w:tr>
    </w:tbl>
    <w:p/>
    <w:p>
      <w:pPr>
        <w:pStyle w:val="Heading1"/>
      </w:pPr>
      <w:r>
        <w:rPr>
          <w:rFonts w:ascii="Aptos" w:hAnsi="Aptos"/>
          <w:color w:val="1A2E3B"/>
        </w:rPr>
        <w:t>Positioning by country</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United States</w:t>
            </w:r>
          </w:p>
        </w:tc>
        <w:tc>
          <w:tcPr>
            <w:tcW w:type="dxa" w:w="1701"/>
          </w:tcPr>
          <w:p>
            <w:r>
              <w:rPr>
                <w:rFonts w:ascii="Aptos" w:hAnsi="Aptos"/>
                <w:sz w:val="20"/>
              </w:rPr>
              <w:t>61.6</w:t>
            </w:r>
          </w:p>
        </w:tc>
        <w:tc>
          <w:tcPr>
            <w:tcW w:type="dxa" w:w="1984"/>
          </w:tcPr>
          <w:p>
            <w:r>
              <w:rPr>
                <w:rFonts w:ascii="Aptos" w:hAnsi="Aptos"/>
                <w:sz w:val="20"/>
              </w:rPr>
              <w:t>72.0</w:t>
            </w:r>
          </w:p>
        </w:tc>
        <w:tc>
          <w:tcPr>
            <w:tcW w:type="dxa" w:w="1701"/>
          </w:tcPr>
          <w:p>
            <w:r>
              <w:rPr>
                <w:rFonts w:ascii="Aptos" w:hAnsi="Aptos"/>
                <w:sz w:val="20"/>
              </w:rPr>
              <w:t>-10.3</w:t>
            </w:r>
          </w:p>
        </w:tc>
      </w:tr>
      <w:tr>
        <w:tc>
          <w:tcPr>
            <w:tcW w:type="dxa" w:w="3118"/>
          </w:tcPr>
          <w:p>
            <w:r>
              <w:rPr>
                <w:rFonts w:ascii="Aptos" w:hAnsi="Aptos"/>
                <w:sz w:val="20"/>
              </w:rPr>
              <w:t>Japan</w:t>
            </w:r>
          </w:p>
        </w:tc>
        <w:tc>
          <w:tcPr>
            <w:tcW w:type="dxa" w:w="1701"/>
          </w:tcPr>
          <w:p>
            <w:r>
              <w:rPr>
                <w:rFonts w:ascii="Aptos" w:hAnsi="Aptos"/>
                <w:sz w:val="20"/>
              </w:rPr>
              <w:t>8.7</w:t>
            </w:r>
          </w:p>
        </w:tc>
        <w:tc>
          <w:tcPr>
            <w:tcW w:type="dxa" w:w="1984"/>
          </w:tcPr>
          <w:p>
            <w:r>
              <w:rPr>
                <w:rFonts w:ascii="Aptos" w:hAnsi="Aptos"/>
                <w:sz w:val="20"/>
              </w:rPr>
              <w:t>5.7</w:t>
            </w:r>
          </w:p>
        </w:tc>
        <w:tc>
          <w:tcPr>
            <w:tcW w:type="dxa" w:w="1701"/>
          </w:tcPr>
          <w:p>
            <w:r>
              <w:rPr>
                <w:rFonts w:ascii="Aptos" w:hAnsi="Aptos"/>
                <w:sz w:val="20"/>
              </w:rPr>
              <w:t>+3.0</w:t>
            </w:r>
          </w:p>
        </w:tc>
      </w:tr>
      <w:tr>
        <w:tc>
          <w:tcPr>
            <w:tcW w:type="dxa" w:w="3118"/>
          </w:tcPr>
          <w:p>
            <w:r>
              <w:rPr>
                <w:rFonts w:ascii="Aptos" w:hAnsi="Aptos"/>
                <w:sz w:val="20"/>
              </w:rPr>
              <w:t>Australia</w:t>
            </w:r>
          </w:p>
        </w:tc>
        <w:tc>
          <w:tcPr>
            <w:tcW w:type="dxa" w:w="1701"/>
          </w:tcPr>
          <w:p>
            <w:r>
              <w:rPr>
                <w:rFonts w:ascii="Aptos" w:hAnsi="Aptos"/>
                <w:sz w:val="20"/>
              </w:rPr>
              <w:t>3.2</w:t>
            </w:r>
          </w:p>
        </w:tc>
        <w:tc>
          <w:tcPr>
            <w:tcW w:type="dxa" w:w="1984"/>
          </w:tcPr>
          <w:p>
            <w:r>
              <w:rPr>
                <w:rFonts w:ascii="Aptos" w:hAnsi="Aptos"/>
                <w:sz w:val="20"/>
              </w:rPr>
              <w:t>1.6</w:t>
            </w:r>
          </w:p>
        </w:tc>
        <w:tc>
          <w:tcPr>
            <w:tcW w:type="dxa" w:w="1701"/>
          </w:tcPr>
          <w:p>
            <w:r>
              <w:rPr>
                <w:rFonts w:ascii="Aptos" w:hAnsi="Aptos"/>
                <w:sz w:val="20"/>
              </w:rPr>
              <w:t>+1.5</w:t>
            </w:r>
          </w:p>
        </w:tc>
      </w:tr>
      <w:tr>
        <w:tc>
          <w:tcPr>
            <w:tcW w:type="dxa" w:w="3118"/>
          </w:tcPr>
          <w:p>
            <w:r>
              <w:rPr>
                <w:rFonts w:ascii="Aptos" w:hAnsi="Aptos"/>
                <w:sz w:val="20"/>
              </w:rPr>
              <w:t>Germany</w:t>
            </w:r>
          </w:p>
        </w:tc>
        <w:tc>
          <w:tcPr>
            <w:tcW w:type="dxa" w:w="1701"/>
          </w:tcPr>
          <w:p>
            <w:r>
              <w:rPr>
                <w:rFonts w:ascii="Aptos" w:hAnsi="Aptos"/>
                <w:sz w:val="20"/>
              </w:rPr>
              <w:t>3.8</w:t>
            </w:r>
          </w:p>
        </w:tc>
        <w:tc>
          <w:tcPr>
            <w:tcW w:type="dxa" w:w="1984"/>
          </w:tcPr>
          <w:p>
            <w:r>
              <w:rPr>
                <w:rFonts w:ascii="Aptos" w:hAnsi="Aptos"/>
                <w:sz w:val="20"/>
              </w:rPr>
              <w:t>2.2</w:t>
            </w:r>
          </w:p>
        </w:tc>
        <w:tc>
          <w:tcPr>
            <w:tcW w:type="dxa" w:w="1701"/>
          </w:tcPr>
          <w:p>
            <w:r>
              <w:rPr>
                <w:rFonts w:ascii="Aptos" w:hAnsi="Aptos"/>
                <w:sz w:val="20"/>
              </w:rPr>
              <w:t>+1.6</w:t>
            </w:r>
          </w:p>
        </w:tc>
      </w:tr>
      <w:tr>
        <w:tc>
          <w:tcPr>
            <w:tcW w:type="dxa" w:w="3118"/>
          </w:tcPr>
          <w:p>
            <w:r>
              <w:rPr>
                <w:rFonts w:ascii="Aptos" w:hAnsi="Aptos"/>
                <w:sz w:val="20"/>
              </w:rPr>
              <w:t>Canada</w:t>
            </w:r>
          </w:p>
        </w:tc>
        <w:tc>
          <w:tcPr>
            <w:tcW w:type="dxa" w:w="1701"/>
          </w:tcPr>
          <w:p>
            <w:r>
              <w:rPr>
                <w:rFonts w:ascii="Aptos" w:hAnsi="Aptos"/>
                <w:sz w:val="20"/>
              </w:rPr>
              <w:t>3.2</w:t>
            </w:r>
          </w:p>
        </w:tc>
        <w:tc>
          <w:tcPr>
            <w:tcW w:type="dxa" w:w="1984"/>
          </w:tcPr>
          <w:p>
            <w:r>
              <w:rPr>
                <w:rFonts w:ascii="Aptos" w:hAnsi="Aptos"/>
                <w:sz w:val="20"/>
              </w:rPr>
              <w:t>3.5</w:t>
            </w:r>
          </w:p>
        </w:tc>
        <w:tc>
          <w:tcPr>
            <w:tcW w:type="dxa" w:w="1701"/>
          </w:tcPr>
          <w:p>
            <w:r>
              <w:rPr>
                <w:rFonts w:ascii="Aptos" w:hAnsi="Aptos"/>
                <w:sz w:val="20"/>
              </w:rPr>
              <w:t>-0.3</w:t>
            </w:r>
          </w:p>
        </w:tc>
      </w:tr>
      <w:tr>
        <w:tc>
          <w:tcPr>
            <w:tcW w:type="dxa" w:w="3118"/>
          </w:tcPr>
          <w:p>
            <w:r>
              <w:rPr>
                <w:rFonts w:ascii="Aptos" w:hAnsi="Aptos"/>
                <w:sz w:val="20"/>
              </w:rPr>
              <w:t>France</w:t>
            </w:r>
          </w:p>
        </w:tc>
        <w:tc>
          <w:tcPr>
            <w:tcW w:type="dxa" w:w="1701"/>
          </w:tcPr>
          <w:p>
            <w:r>
              <w:rPr>
                <w:rFonts w:ascii="Aptos" w:hAnsi="Aptos"/>
                <w:sz w:val="20"/>
              </w:rPr>
              <w:t>10.2</w:t>
            </w:r>
          </w:p>
        </w:tc>
        <w:tc>
          <w:tcPr>
            <w:tcW w:type="dxa" w:w="1984"/>
          </w:tcPr>
          <w:p>
            <w:r>
              <w:rPr>
                <w:rFonts w:ascii="Aptos" w:hAnsi="Aptos"/>
                <w:sz w:val="20"/>
              </w:rPr>
              <w:t>2.4</w:t>
            </w:r>
          </w:p>
        </w:tc>
        <w:tc>
          <w:tcPr>
            <w:tcW w:type="dxa" w:w="1701"/>
          </w:tcPr>
          <w:p>
            <w:r>
              <w:rPr>
                <w:rFonts w:ascii="Aptos" w:hAnsi="Aptos"/>
                <w:sz w:val="20"/>
              </w:rPr>
              <w:t>+7.8</w:t>
            </w:r>
          </w:p>
        </w:tc>
      </w:tr>
      <w:tr>
        <w:tc>
          <w:tcPr>
            <w:tcW w:type="dxa" w:w="3118"/>
          </w:tcPr>
          <w:p>
            <w:r>
              <w:rPr>
                <w:rFonts w:ascii="Aptos" w:hAnsi="Aptos"/>
                <w:sz w:val="20"/>
              </w:rPr>
              <w:t>United Kingdom</w:t>
            </w:r>
          </w:p>
        </w:tc>
        <w:tc>
          <w:tcPr>
            <w:tcW w:type="dxa" w:w="1701"/>
          </w:tcPr>
          <w:p>
            <w:r>
              <w:rPr>
                <w:rFonts w:ascii="Aptos" w:hAnsi="Aptos"/>
                <w:sz w:val="20"/>
              </w:rPr>
              <w:t>2.1</w:t>
            </w:r>
          </w:p>
        </w:tc>
        <w:tc>
          <w:tcPr>
            <w:tcW w:type="dxa" w:w="1984"/>
          </w:tcPr>
          <w:p>
            <w:r>
              <w:rPr>
                <w:rFonts w:ascii="Aptos" w:hAnsi="Aptos"/>
                <w:sz w:val="20"/>
              </w:rPr>
              <w:t>3.5</w:t>
            </w:r>
          </w:p>
        </w:tc>
        <w:tc>
          <w:tcPr>
            <w:tcW w:type="dxa" w:w="1701"/>
          </w:tcPr>
          <w:p>
            <w:r>
              <w:rPr>
                <w:rFonts w:ascii="Aptos" w:hAnsi="Aptos"/>
                <w:sz w:val="20"/>
              </w:rPr>
              <w:t>-1.4</w:t>
            </w:r>
          </w:p>
        </w:tc>
      </w:tr>
      <w:tr>
        <w:tc>
          <w:tcPr>
            <w:tcW w:type="dxa" w:w="3118"/>
          </w:tcPr>
          <w:p>
            <w:r>
              <w:rPr>
                <w:rFonts w:ascii="Aptos" w:hAnsi="Aptos"/>
                <w:sz w:val="20"/>
              </w:rPr>
              <w:t>Switzerland</w:t>
            </w:r>
          </w:p>
        </w:tc>
        <w:tc>
          <w:tcPr>
            <w:tcW w:type="dxa" w:w="1701"/>
          </w:tcPr>
          <w:p>
            <w:r>
              <w:rPr>
                <w:rFonts w:ascii="Aptos" w:hAnsi="Aptos"/>
                <w:sz w:val="20"/>
              </w:rPr>
              <w:t>0.0</w:t>
            </w:r>
          </w:p>
        </w:tc>
        <w:tc>
          <w:tcPr>
            <w:tcW w:type="dxa" w:w="1984"/>
          </w:tcPr>
          <w:p>
            <w:r>
              <w:rPr>
                <w:rFonts w:ascii="Aptos" w:hAnsi="Aptos"/>
                <w:sz w:val="20"/>
              </w:rPr>
              <w:t>2.3</w:t>
            </w:r>
          </w:p>
        </w:tc>
        <w:tc>
          <w:tcPr>
            <w:tcW w:type="dxa" w:w="1701"/>
          </w:tcPr>
          <w:p>
            <w:r>
              <w:rPr>
                <w:rFonts w:ascii="Aptos" w:hAnsi="Aptos"/>
                <w:sz w:val="20"/>
              </w:rPr>
              <w:t>-2.3</w:t>
            </w:r>
          </w:p>
        </w:tc>
      </w:tr>
      <w:tr>
        <w:tc>
          <w:tcPr>
            <w:tcW w:type="dxa" w:w="3118"/>
          </w:tcPr>
          <w:p>
            <w:r>
              <w:rPr>
                <w:rFonts w:ascii="Aptos" w:hAnsi="Aptos"/>
                <w:sz w:val="20"/>
              </w:rPr>
              <w:t>All other countries</w:t>
            </w:r>
          </w:p>
        </w:tc>
        <w:tc>
          <w:tcPr>
            <w:tcW w:type="dxa" w:w="1701"/>
          </w:tcPr>
          <w:p>
            <w:r>
              <w:rPr>
                <w:rFonts w:ascii="Aptos" w:hAnsi="Aptos"/>
                <w:sz w:val="20"/>
              </w:rPr>
              <w:t>7.2</w:t>
            </w:r>
          </w:p>
        </w:tc>
        <w:tc>
          <w:tcPr>
            <w:tcW w:type="dxa" w:w="1984"/>
          </w:tcPr>
          <w:p>
            <w:r>
              <w:rPr>
                <w:rFonts w:ascii="Aptos" w:hAnsi="Aptos"/>
                <w:sz w:val="20"/>
              </w:rPr>
              <w:t>6.8</w:t>
            </w:r>
          </w:p>
        </w:tc>
        <w:tc>
          <w:tcPr>
            <w:tcW w:type="dxa" w:w="1701"/>
          </w:tcPr>
          <w:p>
            <w:r>
              <w:rPr>
                <w:rFonts w:ascii="Aptos" w:hAnsi="Aptos"/>
                <w:sz w:val="20"/>
              </w:rPr>
              <w:t>+0.4</w:t>
            </w:r>
          </w:p>
        </w:tc>
      </w:tr>
    </w:tbl>
    <w:p/>
    <w:p>
      <w:pPr>
        <w:pStyle w:val="Heading1"/>
      </w:pPr>
      <w:r>
        <w:rPr>
          <w:rFonts w:ascii="Aptos" w:hAnsi="Aptos"/>
          <w:color w:val="1A2E3B"/>
        </w:rPr>
        <w:t>Attribution by holding</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BHP Group Ltd</w:t>
            </w:r>
          </w:p>
        </w:tc>
        <w:tc>
          <w:tcPr>
            <w:tcW w:type="dxa" w:w="1984"/>
          </w:tcPr>
          <w:p>
            <w:r>
              <w:rPr>
                <w:rFonts w:ascii="Aptos" w:hAnsi="Aptos"/>
                <w:sz w:val="20"/>
              </w:rPr>
              <w:t>+0.29</w:t>
            </w:r>
          </w:p>
        </w:tc>
        <w:tc>
          <w:tcPr>
            <w:tcW w:type="dxa" w:w="1701"/>
          </w:tcPr>
          <w:p>
            <w:r>
              <w:rPr>
                <w:rFonts w:ascii="Aptos" w:hAnsi="Aptos"/>
                <w:sz w:val="20"/>
              </w:rPr>
              <w:t>-0.03</w:t>
            </w:r>
          </w:p>
        </w:tc>
        <w:tc>
          <w:tcPr>
            <w:tcW w:type="dxa" w:w="1984"/>
          </w:tcPr>
          <w:p>
            <w:r>
              <w:rPr>
                <w:rFonts w:ascii="Aptos" w:hAnsi="Aptos"/>
                <w:sz w:val="20"/>
              </w:rPr>
              <w:t>+0.26</w:t>
            </w:r>
          </w:p>
        </w:tc>
      </w:tr>
      <w:tr>
        <w:tc>
          <w:tcPr>
            <w:tcW w:type="dxa" w:w="3118"/>
          </w:tcPr>
          <w:p>
            <w:r>
              <w:rPr>
                <w:rFonts w:ascii="Aptos" w:hAnsi="Aptos"/>
                <w:sz w:val="20"/>
              </w:rPr>
              <w:t>Merck &amp; Co.,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SAP SE</w:t>
            </w:r>
          </w:p>
        </w:tc>
        <w:tc>
          <w:tcPr>
            <w:tcW w:type="dxa" w:w="1984"/>
          </w:tcPr>
          <w:p>
            <w:r>
              <w:rPr>
                <w:rFonts w:ascii="Aptos" w:hAnsi="Aptos"/>
                <w:sz w:val="20"/>
              </w:rPr>
              <w:t>+0.13</w:t>
            </w:r>
          </w:p>
        </w:tc>
        <w:tc>
          <w:tcPr>
            <w:tcW w:type="dxa" w:w="1701"/>
          </w:tcPr>
          <w:p>
            <w:r>
              <w:rPr>
                <w:rFonts w:ascii="Aptos" w:hAnsi="Aptos"/>
                <w:sz w:val="20"/>
              </w:rPr>
              <w:t>+0.00</w:t>
            </w:r>
          </w:p>
        </w:tc>
        <w:tc>
          <w:tcPr>
            <w:tcW w:type="dxa" w:w="1984"/>
          </w:tcPr>
          <w:p>
            <w:r>
              <w:rPr>
                <w:rFonts w:ascii="Aptos" w:hAnsi="Aptos"/>
                <w:sz w:val="20"/>
              </w:rPr>
              <w:t>+0.13</w:t>
            </w:r>
          </w:p>
        </w:tc>
      </w:tr>
      <w:tr>
        <w:tc>
          <w:tcPr>
            <w:tcW w:type="dxa" w:w="3118"/>
          </w:tcPr>
          <w:p>
            <w:r>
              <w:rPr>
                <w:rFonts w:ascii="Aptos" w:hAnsi="Aptos"/>
                <w:sz w:val="20"/>
              </w:rPr>
              <w:t>Oracle Corporation</w:t>
            </w:r>
          </w:p>
        </w:tc>
        <w:tc>
          <w:tcPr>
            <w:tcW w:type="dxa" w:w="1984"/>
          </w:tcPr>
          <w:p>
            <w:r>
              <w:rPr>
                <w:rFonts w:ascii="Aptos" w:hAnsi="Aptos"/>
                <w:sz w:val="20"/>
              </w:rPr>
              <w:t>+0.09</w:t>
            </w:r>
          </w:p>
        </w:tc>
        <w:tc>
          <w:tcPr>
            <w:tcW w:type="dxa" w:w="1701"/>
          </w:tcPr>
          <w:p>
            <w:r>
              <w:rPr>
                <w:rFonts w:ascii="Aptos" w:hAnsi="Aptos"/>
                <w:sz w:val="20"/>
              </w:rPr>
              <w:t>-0.00</w:t>
            </w:r>
          </w:p>
        </w:tc>
        <w:tc>
          <w:tcPr>
            <w:tcW w:type="dxa" w:w="1984"/>
          </w:tcPr>
          <w:p>
            <w:r>
              <w:rPr>
                <w:rFonts w:ascii="Aptos" w:hAnsi="Aptos"/>
                <w:sz w:val="20"/>
              </w:rPr>
              <w:t>+0.09</w:t>
            </w:r>
          </w:p>
        </w:tc>
      </w:tr>
      <w:tr>
        <w:tc>
          <w:tcPr>
            <w:tcW w:type="dxa" w:w="3118"/>
          </w:tcPr>
          <w:p>
            <w:r>
              <w:rPr>
                <w:rFonts w:ascii="Aptos" w:hAnsi="Aptos"/>
                <w:sz w:val="20"/>
              </w:rPr>
              <w:t>BlackRock, Inc.</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Alphabet Inc. Class A</w:t>
            </w:r>
          </w:p>
        </w:tc>
        <w:tc>
          <w:tcPr>
            <w:tcW w:type="dxa" w:w="1984"/>
          </w:tcPr>
          <w:p>
            <w:r>
              <w:rPr>
                <w:rFonts w:ascii="Aptos" w:hAnsi="Aptos"/>
                <w:sz w:val="20"/>
              </w:rPr>
              <w:t>+0.07</w:t>
            </w:r>
          </w:p>
        </w:tc>
        <w:tc>
          <w:tcPr>
            <w:tcW w:type="dxa" w:w="1701"/>
          </w:tcPr>
          <w:p>
            <w:r>
              <w:rPr>
                <w:rFonts w:ascii="Aptos" w:hAnsi="Aptos"/>
                <w:sz w:val="20"/>
              </w:rPr>
              <w:t>-0.02</w:t>
            </w:r>
          </w:p>
        </w:tc>
        <w:tc>
          <w:tcPr>
            <w:tcW w:type="dxa" w:w="1984"/>
          </w:tcPr>
          <w:p>
            <w:r>
              <w:rPr>
                <w:rFonts w:ascii="Aptos" w:hAnsi="Aptos"/>
                <w:sz w:val="20"/>
              </w:rPr>
              <w:t>+0.05</w:t>
            </w:r>
          </w:p>
        </w:tc>
      </w:tr>
      <w:tr>
        <w:tc>
          <w:tcPr>
            <w:tcW w:type="dxa" w:w="3118"/>
          </w:tcPr>
          <w:p>
            <w:r>
              <w:rPr>
                <w:rFonts w:ascii="Aptos" w:hAnsi="Aptos"/>
                <w:sz w:val="20"/>
              </w:rPr>
              <w:t>Exxonmobil Holdings Corporation</w:t>
            </w:r>
          </w:p>
        </w:tc>
        <w:tc>
          <w:tcPr>
            <w:tcW w:type="dxa" w:w="1984"/>
          </w:tcPr>
          <w:p>
            <w:r>
              <w:rPr>
                <w:rFonts w:ascii="Aptos" w:hAnsi="Aptos"/>
                <w:sz w:val="20"/>
              </w:rPr>
              <w:t>+0.04</w:t>
            </w:r>
          </w:p>
        </w:tc>
        <w:tc>
          <w:tcPr>
            <w:tcW w:type="dxa" w:w="1701"/>
          </w:tcPr>
          <w:p>
            <w:r>
              <w:rPr>
                <w:rFonts w:ascii="Aptos" w:hAnsi="Aptos"/>
                <w:sz w:val="20"/>
              </w:rPr>
              <w:t>+0.01</w:t>
            </w:r>
          </w:p>
        </w:tc>
        <w:tc>
          <w:tcPr>
            <w:tcW w:type="dxa" w:w="1984"/>
          </w:tcPr>
          <w:p>
            <w:r>
              <w:rPr>
                <w:rFonts w:ascii="Aptos" w:hAnsi="Aptos"/>
                <w:sz w:val="20"/>
              </w:rPr>
              <w:t>+0.04</w:t>
            </w:r>
          </w:p>
        </w:tc>
      </w:tr>
      <w:tr>
        <w:tc>
          <w:tcPr>
            <w:tcW w:type="dxa" w:w="3118"/>
          </w:tcPr>
          <w:p>
            <w:r>
              <w:rPr>
                <w:rFonts w:ascii="Aptos" w:hAnsi="Aptos"/>
                <w:sz w:val="20"/>
              </w:rPr>
              <w:t>Visa Inc. Class A</w:t>
            </w:r>
          </w:p>
        </w:tc>
        <w:tc>
          <w:tcPr>
            <w:tcW w:type="dxa" w:w="1984"/>
          </w:tcPr>
          <w:p>
            <w:r>
              <w:rPr>
                <w:rFonts w:ascii="Aptos" w:hAnsi="Aptos"/>
                <w:sz w:val="20"/>
              </w:rPr>
              <w:t>+0.02</w:t>
            </w:r>
          </w:p>
        </w:tc>
        <w:tc>
          <w:tcPr>
            <w:tcW w:type="dxa" w:w="1701"/>
          </w:tcPr>
          <w:p>
            <w:r>
              <w:rPr>
                <w:rFonts w:ascii="Aptos" w:hAnsi="Aptos"/>
                <w:sz w:val="20"/>
              </w:rPr>
              <w:t>+0.00</w:t>
            </w:r>
          </w:p>
        </w:tc>
        <w:tc>
          <w:tcPr>
            <w:tcW w:type="dxa" w:w="1984"/>
          </w:tcPr>
          <w:p>
            <w:r>
              <w:rPr>
                <w:rFonts w:ascii="Aptos" w:hAnsi="Aptos"/>
                <w:sz w:val="20"/>
              </w:rPr>
              <w:t>+0.02</w:t>
            </w:r>
          </w:p>
        </w:tc>
      </w:tr>
      <w:tr>
        <w:tc>
          <w:tcPr>
            <w:tcW w:type="dxa" w:w="3118"/>
          </w:tcPr>
          <w:p>
            <w:r>
              <w:rPr>
                <w:rFonts w:ascii="Aptos" w:hAnsi="Aptos"/>
                <w:sz w:val="20"/>
              </w:rPr>
              <w:t>ING Groep N.V.</w:t>
            </w:r>
          </w:p>
        </w:tc>
        <w:tc>
          <w:tcPr>
            <w:tcW w:type="dxa" w:w="1984"/>
          </w:tcPr>
          <w:p>
            <w:r>
              <w:rPr>
                <w:rFonts w:ascii="Aptos" w:hAnsi="Aptos"/>
                <w:sz w:val="20"/>
              </w:rPr>
              <w:t>+0.00</w:t>
            </w:r>
          </w:p>
        </w:tc>
        <w:tc>
          <w:tcPr>
            <w:tcW w:type="dxa" w:w="1701"/>
          </w:tcPr>
          <w:p>
            <w:r>
              <w:rPr>
                <w:rFonts w:ascii="Aptos" w:hAnsi="Aptos"/>
                <w:sz w:val="20"/>
              </w:rPr>
              <w:t>+0.00</w:t>
            </w:r>
          </w:p>
        </w:tc>
        <w:tc>
          <w:tcPr>
            <w:tcW w:type="dxa" w:w="1984"/>
          </w:tcPr>
          <w:p>
            <w:r>
              <w:rPr>
                <w:rFonts w:ascii="Aptos" w:hAnsi="Aptos"/>
                <w:sz w:val="20"/>
              </w:rPr>
              <w:t>+0.01</w:t>
            </w:r>
          </w:p>
        </w:tc>
      </w:tr>
      <w:tr>
        <w:tc>
          <w:tcPr>
            <w:tcW w:type="dxa" w:w="3118"/>
          </w:tcPr>
          <w:p>
            <w:r>
              <w:rPr>
                <w:rFonts w:ascii="Aptos" w:hAnsi="Aptos"/>
                <w:sz w:val="20"/>
              </w:rPr>
              <w:t>Broadcom Inc.</w:t>
            </w:r>
          </w:p>
        </w:tc>
        <w:tc>
          <w:tcPr>
            <w:tcW w:type="dxa" w:w="1984"/>
          </w:tcPr>
          <w:p>
            <w:r>
              <w:rPr>
                <w:rFonts w:ascii="Aptos" w:hAnsi="Aptos"/>
                <w:sz w:val="20"/>
              </w:rPr>
              <w:t>-0.03</w:t>
            </w:r>
          </w:p>
        </w:tc>
        <w:tc>
          <w:tcPr>
            <w:tcW w:type="dxa" w:w="1701"/>
          </w:tcPr>
          <w:p>
            <w:r>
              <w:rPr>
                <w:rFonts w:ascii="Aptos" w:hAnsi="Aptos"/>
                <w:sz w:val="20"/>
              </w:rPr>
              <w:t>-0.00</w:t>
            </w:r>
          </w:p>
        </w:tc>
        <w:tc>
          <w:tcPr>
            <w:tcW w:type="dxa" w:w="1984"/>
          </w:tcPr>
          <w:p>
            <w:r>
              <w:rPr>
                <w:rFonts w:ascii="Aptos" w:hAnsi="Aptos"/>
                <w:sz w:val="20"/>
              </w:rPr>
              <w:t>-0.03</w:t>
            </w:r>
          </w:p>
        </w:tc>
      </w:tr>
      <w:tr>
        <w:tc>
          <w:tcPr>
            <w:tcW w:type="dxa" w:w="3118"/>
          </w:tcPr>
          <w:p>
            <w:r>
              <w:rPr>
                <w:rFonts w:ascii="Aptos" w:hAnsi="Aptos"/>
                <w:sz w:val="20"/>
              </w:rPr>
              <w:t>Danone SA</w:t>
            </w:r>
          </w:p>
        </w:tc>
        <w:tc>
          <w:tcPr>
            <w:tcW w:type="dxa" w:w="1984"/>
          </w:tcPr>
          <w:p>
            <w:r>
              <w:rPr>
                <w:rFonts w:ascii="Aptos" w:hAnsi="Aptos"/>
                <w:sz w:val="20"/>
              </w:rPr>
              <w:t>-0.05</w:t>
            </w:r>
          </w:p>
        </w:tc>
        <w:tc>
          <w:tcPr>
            <w:tcW w:type="dxa" w:w="1701"/>
          </w:tcPr>
          <w:p>
            <w:r>
              <w:rPr>
                <w:rFonts w:ascii="Aptos" w:hAnsi="Aptos"/>
                <w:sz w:val="20"/>
              </w:rPr>
              <w:t>+0.00</w:t>
            </w:r>
          </w:p>
        </w:tc>
        <w:tc>
          <w:tcPr>
            <w:tcW w:type="dxa" w:w="1984"/>
          </w:tcPr>
          <w:p>
            <w:r>
              <w:rPr>
                <w:rFonts w:ascii="Aptos" w:hAnsi="Aptos"/>
                <w:sz w:val="20"/>
              </w:rPr>
              <w:t>-0.05</w:t>
            </w:r>
          </w:p>
        </w:tc>
      </w:tr>
      <w:tr>
        <w:tc>
          <w:tcPr>
            <w:tcW w:type="dxa" w:w="3118"/>
          </w:tcPr>
          <w:p>
            <w:r>
              <w:rPr>
                <w:rFonts w:ascii="Aptos" w:hAnsi="Aptos"/>
                <w:sz w:val="20"/>
              </w:rPr>
              <w:t>FAST RETAILING CO., LTD.</w:t>
            </w:r>
          </w:p>
        </w:tc>
        <w:tc>
          <w:tcPr>
            <w:tcW w:type="dxa" w:w="1984"/>
          </w:tcPr>
          <w:p>
            <w:r>
              <w:rPr>
                <w:rFonts w:ascii="Aptos" w:hAnsi="Aptos"/>
                <w:sz w:val="20"/>
              </w:rPr>
              <w:t>-0.19</w:t>
            </w:r>
          </w:p>
        </w:tc>
        <w:tc>
          <w:tcPr>
            <w:tcW w:type="dxa" w:w="1701"/>
          </w:tcPr>
          <w:p>
            <w:r>
              <w:rPr>
                <w:rFonts w:ascii="Aptos" w:hAnsi="Aptos"/>
                <w:sz w:val="20"/>
              </w:rPr>
              <w:t>+0.00</w:t>
            </w:r>
          </w:p>
        </w:tc>
        <w:tc>
          <w:tcPr>
            <w:tcW w:type="dxa" w:w="1984"/>
          </w:tcPr>
          <w:p>
            <w:r>
              <w:rPr>
                <w:rFonts w:ascii="Aptos" w:hAnsi="Aptos"/>
                <w:sz w:val="20"/>
              </w:rPr>
              <w:t>-0.19</w:t>
            </w:r>
          </w:p>
        </w:tc>
      </w:tr>
      <w:tr>
        <w:tc>
          <w:tcPr>
            <w:tcW w:type="dxa" w:w="3118"/>
          </w:tcPr>
          <w:p>
            <w:r>
              <w:rPr>
                <w:rFonts w:ascii="Aptos" w:hAnsi="Aptos"/>
                <w:sz w:val="20"/>
              </w:rPr>
              <w:t>Howmet Aerospace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Fanuc Corporation</w:t>
            </w:r>
          </w:p>
        </w:tc>
        <w:tc>
          <w:tcPr>
            <w:tcW w:type="dxa" w:w="1984"/>
          </w:tcPr>
          <w:p>
            <w:r>
              <w:rPr>
                <w:rFonts w:ascii="Aptos" w:hAnsi="Aptos"/>
                <w:sz w:val="20"/>
              </w:rPr>
              <w:t>-0.33</w:t>
            </w:r>
          </w:p>
        </w:tc>
        <w:tc>
          <w:tcPr>
            <w:tcW w:type="dxa" w:w="1701"/>
          </w:tcPr>
          <w:p>
            <w:r>
              <w:rPr>
                <w:rFonts w:ascii="Aptos" w:hAnsi="Aptos"/>
                <w:sz w:val="20"/>
              </w:rPr>
              <w:t>+0.00</w:t>
            </w:r>
          </w:p>
        </w:tc>
        <w:tc>
          <w:tcPr>
            <w:tcW w:type="dxa" w:w="1984"/>
          </w:tcPr>
          <w:p>
            <w:r>
              <w:rPr>
                <w:rFonts w:ascii="Aptos" w:hAnsi="Aptos"/>
                <w:sz w:val="20"/>
              </w:rPr>
              <w:t>-0.33</w:t>
            </w:r>
          </w:p>
        </w:tc>
      </w:tr>
      <w:tr>
        <w:tc>
          <w:tcPr>
            <w:tcW w:type="dxa" w:w="3118"/>
          </w:tcPr>
          <w:p>
            <w:r>
              <w:rPr>
                <w:rFonts w:ascii="Aptos" w:hAnsi="Aptos"/>
                <w:sz w:val="20"/>
              </w:rPr>
              <w:t>Cummins Inc.</w:t>
            </w:r>
          </w:p>
        </w:tc>
        <w:tc>
          <w:tcPr>
            <w:tcW w:type="dxa" w:w="1984"/>
          </w:tcPr>
          <w:p>
            <w:r>
              <w:rPr>
                <w:rFonts w:ascii="Aptos" w:hAnsi="Aptos"/>
                <w:sz w:val="20"/>
              </w:rPr>
              <w:t>-0.41</w:t>
            </w:r>
          </w:p>
        </w:tc>
        <w:tc>
          <w:tcPr>
            <w:tcW w:type="dxa" w:w="1701"/>
          </w:tcPr>
          <w:p>
            <w:r>
              <w:rPr>
                <w:rFonts w:ascii="Aptos" w:hAnsi="Aptos"/>
                <w:sz w:val="20"/>
              </w:rPr>
              <w:t>+0.00</w:t>
            </w:r>
          </w:p>
        </w:tc>
        <w:tc>
          <w:tcPr>
            <w:tcW w:type="dxa" w:w="1984"/>
          </w:tcPr>
          <w:p>
            <w:r>
              <w:rPr>
                <w:rFonts w:ascii="Aptos" w:hAnsi="Aptos"/>
                <w:sz w:val="20"/>
              </w:rPr>
              <w:t>-0.41</w:t>
            </w:r>
          </w:p>
        </w:tc>
      </w:tr>
      <w:tr>
        <w:tc>
          <w:tcPr>
            <w:tcW w:type="dxa" w:w="3118"/>
          </w:tcPr>
          <w:p>
            <w:r>
              <w:rPr>
                <w:rFonts w:ascii="Aptos" w:hAnsi="Aptos"/>
                <w:sz w:val="20"/>
              </w:rPr>
              <w:t>Applied Materials, Inc.</w:t>
            </w:r>
          </w:p>
        </w:tc>
        <w:tc>
          <w:tcPr>
            <w:tcW w:type="dxa" w:w="1984"/>
          </w:tcPr>
          <w:p>
            <w:r>
              <w:rPr>
                <w:rFonts w:ascii="Aptos" w:hAnsi="Aptos"/>
                <w:sz w:val="20"/>
              </w:rPr>
              <w:t>-0.43</w:t>
            </w:r>
          </w:p>
        </w:tc>
        <w:tc>
          <w:tcPr>
            <w:tcW w:type="dxa" w:w="1701"/>
          </w:tcPr>
          <w:p>
            <w:r>
              <w:rPr>
                <w:rFonts w:ascii="Aptos" w:hAnsi="Aptos"/>
                <w:sz w:val="20"/>
              </w:rPr>
              <w:t>+0.00</w:t>
            </w:r>
          </w:p>
        </w:tc>
        <w:tc>
          <w:tcPr>
            <w:tcW w:type="dxa" w:w="1984"/>
          </w:tcPr>
          <w:p>
            <w:r>
              <w:rPr>
                <w:rFonts w:ascii="Aptos" w:hAnsi="Aptos"/>
                <w:sz w:val="20"/>
              </w:rPr>
              <w:t>-0.43</w:t>
            </w:r>
          </w:p>
        </w:tc>
      </w:tr>
    </w:tbl>
    <w:p/>
    <w:p>
      <w:pPr>
        <w:pStyle w:val="Heading1"/>
      </w:pPr>
      <w:r>
        <w:rPr>
          <w:rFonts w:ascii="Aptos" w:hAnsi="Aptos"/>
          <w:color w:val="1A2E3B"/>
        </w:rPr>
        <w:t>Positioning by holding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BHP Group Ltd</w:t>
            </w:r>
          </w:p>
        </w:tc>
        <w:tc>
          <w:tcPr>
            <w:tcW w:type="dxa" w:w="1701"/>
          </w:tcPr>
          <w:p>
            <w:r>
              <w:rPr>
                <w:rFonts w:ascii="Aptos" w:hAnsi="Aptos"/>
                <w:sz w:val="20"/>
              </w:rPr>
              <w:t>3.2</w:t>
            </w:r>
          </w:p>
        </w:tc>
        <w:tc>
          <w:tcPr>
            <w:tcW w:type="dxa" w:w="1984"/>
          </w:tcPr>
          <w:p>
            <w:r>
              <w:rPr>
                <w:rFonts w:ascii="Aptos" w:hAnsi="Aptos"/>
                <w:sz w:val="20"/>
              </w:rPr>
              <w:t>0.2</w:t>
            </w:r>
          </w:p>
        </w:tc>
        <w:tc>
          <w:tcPr>
            <w:tcW w:type="dxa" w:w="1701"/>
          </w:tcPr>
          <w:p>
            <w:r>
              <w:rPr>
                <w:rFonts w:ascii="Aptos" w:hAnsi="Aptos"/>
                <w:sz w:val="20"/>
              </w:rPr>
              <w:t>+2.9</w:t>
            </w:r>
          </w:p>
        </w:tc>
      </w:tr>
      <w:tr>
        <w:tc>
          <w:tcPr>
            <w:tcW w:type="dxa" w:w="3118"/>
          </w:tcPr>
          <w:p>
            <w:r>
              <w:rPr>
                <w:rFonts w:ascii="Aptos" w:hAnsi="Aptos"/>
                <w:sz w:val="20"/>
              </w:rPr>
              <w:t>Merck &amp; Co., Inc.</w:t>
            </w:r>
          </w:p>
        </w:tc>
        <w:tc>
          <w:tcPr>
            <w:tcW w:type="dxa" w:w="1701"/>
          </w:tcPr>
          <w:p>
            <w:r>
              <w:rPr>
                <w:rFonts w:ascii="Aptos" w:hAnsi="Aptos"/>
                <w:sz w:val="20"/>
              </w:rPr>
              <w:t>2.8</w:t>
            </w:r>
          </w:p>
        </w:tc>
        <w:tc>
          <w:tcPr>
            <w:tcW w:type="dxa" w:w="1984"/>
          </w:tcPr>
          <w:p>
            <w:r>
              <w:rPr>
                <w:rFonts w:ascii="Aptos" w:hAnsi="Aptos"/>
                <w:sz w:val="20"/>
              </w:rPr>
              <w:t>0.4</w:t>
            </w:r>
          </w:p>
        </w:tc>
        <w:tc>
          <w:tcPr>
            <w:tcW w:type="dxa" w:w="1701"/>
          </w:tcPr>
          <w:p>
            <w:r>
              <w:rPr>
                <w:rFonts w:ascii="Aptos" w:hAnsi="Aptos"/>
                <w:sz w:val="20"/>
              </w:rPr>
              <w:t>+2.5</w:t>
            </w:r>
          </w:p>
        </w:tc>
      </w:tr>
      <w:tr>
        <w:tc>
          <w:tcPr>
            <w:tcW w:type="dxa" w:w="3118"/>
          </w:tcPr>
          <w:p>
            <w:r>
              <w:rPr>
                <w:rFonts w:ascii="Aptos" w:hAnsi="Aptos"/>
                <w:sz w:val="20"/>
              </w:rPr>
              <w:t>SAP SE</w:t>
            </w:r>
          </w:p>
        </w:tc>
        <w:tc>
          <w:tcPr>
            <w:tcW w:type="dxa" w:w="1701"/>
          </w:tcPr>
          <w:p>
            <w:r>
              <w:rPr>
                <w:rFonts w:ascii="Aptos" w:hAnsi="Aptos"/>
                <w:sz w:val="20"/>
              </w:rPr>
              <w:t>1.0</w:t>
            </w:r>
          </w:p>
        </w:tc>
        <w:tc>
          <w:tcPr>
            <w:tcW w:type="dxa" w:w="1984"/>
          </w:tcPr>
          <w:p>
            <w:r>
              <w:rPr>
                <w:rFonts w:ascii="Aptos" w:hAnsi="Aptos"/>
                <w:sz w:val="20"/>
              </w:rPr>
              <w:t>0.2</w:t>
            </w:r>
          </w:p>
        </w:tc>
        <w:tc>
          <w:tcPr>
            <w:tcW w:type="dxa" w:w="1701"/>
          </w:tcPr>
          <w:p>
            <w:r>
              <w:rPr>
                <w:rFonts w:ascii="Aptos" w:hAnsi="Aptos"/>
                <w:sz w:val="20"/>
              </w:rPr>
              <w:t>+0.7</w:t>
            </w:r>
          </w:p>
        </w:tc>
      </w:tr>
      <w:tr>
        <w:tc>
          <w:tcPr>
            <w:tcW w:type="dxa" w:w="3118"/>
          </w:tcPr>
          <w:p>
            <w:r>
              <w:rPr>
                <w:rFonts w:ascii="Aptos" w:hAnsi="Aptos"/>
                <w:sz w:val="20"/>
              </w:rPr>
              <w:t>Oracle Corporation</w:t>
            </w:r>
          </w:p>
        </w:tc>
        <w:tc>
          <w:tcPr>
            <w:tcW w:type="dxa" w:w="1701"/>
          </w:tcPr>
          <w:p>
            <w:r>
              <w:rPr>
                <w:rFonts w:ascii="Aptos" w:hAnsi="Aptos"/>
                <w:sz w:val="20"/>
              </w:rPr>
              <w:t>1.1</w:t>
            </w:r>
          </w:p>
        </w:tc>
        <w:tc>
          <w:tcPr>
            <w:tcW w:type="dxa" w:w="1984"/>
          </w:tcPr>
          <w:p>
            <w:r>
              <w:rPr>
                <w:rFonts w:ascii="Aptos" w:hAnsi="Aptos"/>
                <w:sz w:val="20"/>
              </w:rPr>
              <w:t>0.3</w:t>
            </w:r>
          </w:p>
        </w:tc>
        <w:tc>
          <w:tcPr>
            <w:tcW w:type="dxa" w:w="1701"/>
          </w:tcPr>
          <w:p>
            <w:r>
              <w:rPr>
                <w:rFonts w:ascii="Aptos" w:hAnsi="Aptos"/>
                <w:sz w:val="20"/>
              </w:rPr>
              <w:t>+0.8</w:t>
            </w:r>
          </w:p>
        </w:tc>
      </w:tr>
      <w:tr>
        <w:tc>
          <w:tcPr>
            <w:tcW w:type="dxa" w:w="3118"/>
          </w:tcPr>
          <w:p>
            <w:r>
              <w:rPr>
                <w:rFonts w:ascii="Aptos" w:hAnsi="Aptos"/>
                <w:sz w:val="20"/>
              </w:rPr>
              <w:t>BlackRock, Inc.</w:t>
            </w:r>
          </w:p>
        </w:tc>
        <w:tc>
          <w:tcPr>
            <w:tcW w:type="dxa" w:w="1701"/>
          </w:tcPr>
          <w:p>
            <w:r>
              <w:rPr>
                <w:rFonts w:ascii="Aptos" w:hAnsi="Aptos"/>
                <w:sz w:val="20"/>
              </w:rPr>
              <w:t>2.2</w:t>
            </w:r>
          </w:p>
        </w:tc>
        <w:tc>
          <w:tcPr>
            <w:tcW w:type="dxa" w:w="1984"/>
          </w:tcPr>
          <w:p>
            <w:r>
              <w:rPr>
                <w:rFonts w:ascii="Aptos" w:hAnsi="Aptos"/>
                <w:sz w:val="20"/>
              </w:rPr>
              <w:t>0.2</w:t>
            </w:r>
          </w:p>
        </w:tc>
        <w:tc>
          <w:tcPr>
            <w:tcW w:type="dxa" w:w="1701"/>
          </w:tcPr>
          <w:p>
            <w:r>
              <w:rPr>
                <w:rFonts w:ascii="Aptos" w:hAnsi="Aptos"/>
                <w:sz w:val="20"/>
              </w:rPr>
              <w:t>+2.0</w:t>
            </w:r>
          </w:p>
        </w:tc>
      </w:tr>
      <w:tr>
        <w:tc>
          <w:tcPr>
            <w:tcW w:type="dxa" w:w="3118"/>
          </w:tcPr>
          <w:p>
            <w:r>
              <w:rPr>
                <w:rFonts w:ascii="Aptos" w:hAnsi="Aptos"/>
                <w:sz w:val="20"/>
              </w:rPr>
              <w:t>Alphabet Inc. Class A</w:t>
            </w:r>
          </w:p>
        </w:tc>
        <w:tc>
          <w:tcPr>
            <w:tcW w:type="dxa" w:w="1701"/>
          </w:tcPr>
          <w:p>
            <w:r>
              <w:rPr>
                <w:rFonts w:ascii="Aptos" w:hAnsi="Aptos"/>
                <w:sz w:val="20"/>
              </w:rPr>
              <w:t>3.2</w:t>
            </w:r>
          </w:p>
        </w:tc>
        <w:tc>
          <w:tcPr>
            <w:tcW w:type="dxa" w:w="1984"/>
          </w:tcPr>
          <w:p>
            <w:r>
              <w:rPr>
                <w:rFonts w:ascii="Aptos" w:hAnsi="Aptos"/>
                <w:sz w:val="20"/>
              </w:rPr>
              <w:t>4.0</w:t>
            </w:r>
          </w:p>
        </w:tc>
        <w:tc>
          <w:tcPr>
            <w:tcW w:type="dxa" w:w="1701"/>
          </w:tcPr>
          <w:p>
            <w:r>
              <w:rPr>
                <w:rFonts w:ascii="Aptos" w:hAnsi="Aptos"/>
                <w:sz w:val="20"/>
              </w:rPr>
              <w:t>-0.8</w:t>
            </w:r>
          </w:p>
        </w:tc>
      </w:tr>
      <w:tr>
        <w:tc>
          <w:tcPr>
            <w:tcW w:type="dxa" w:w="3118"/>
          </w:tcPr>
          <w:p>
            <w:r>
              <w:rPr>
                <w:rFonts w:ascii="Aptos" w:hAnsi="Aptos"/>
                <w:sz w:val="20"/>
              </w:rPr>
              <w:t>Exxonmobil Holdings Corporation</w:t>
            </w:r>
          </w:p>
        </w:tc>
        <w:tc>
          <w:tcPr>
            <w:tcW w:type="dxa" w:w="1701"/>
          </w:tcPr>
          <w:p>
            <w:r>
              <w:rPr>
                <w:rFonts w:ascii="Aptos" w:hAnsi="Aptos"/>
                <w:sz w:val="20"/>
              </w:rPr>
              <w:t>3.0</w:t>
            </w:r>
          </w:p>
        </w:tc>
        <w:tc>
          <w:tcPr>
            <w:tcW w:type="dxa" w:w="1984"/>
          </w:tcPr>
          <w:p>
            <w:r>
              <w:rPr>
                <w:rFonts w:ascii="Aptos" w:hAnsi="Aptos"/>
                <w:sz w:val="20"/>
              </w:rPr>
              <w:t>0.7</w:t>
            </w:r>
          </w:p>
        </w:tc>
        <w:tc>
          <w:tcPr>
            <w:tcW w:type="dxa" w:w="1701"/>
          </w:tcPr>
          <w:p>
            <w:r>
              <w:rPr>
                <w:rFonts w:ascii="Aptos" w:hAnsi="Aptos"/>
                <w:sz w:val="20"/>
              </w:rPr>
              <w:t>+2.3</w:t>
            </w:r>
          </w:p>
        </w:tc>
      </w:tr>
      <w:tr>
        <w:tc>
          <w:tcPr>
            <w:tcW w:type="dxa" w:w="3118"/>
          </w:tcPr>
          <w:p>
            <w:r>
              <w:rPr>
                <w:rFonts w:ascii="Aptos" w:hAnsi="Aptos"/>
                <w:sz w:val="20"/>
              </w:rPr>
              <w:t>Visa Inc. Class A</w:t>
            </w:r>
          </w:p>
        </w:tc>
        <w:tc>
          <w:tcPr>
            <w:tcW w:type="dxa" w:w="1701"/>
          </w:tcPr>
          <w:p>
            <w:r>
              <w:rPr>
                <w:rFonts w:ascii="Aptos" w:hAnsi="Aptos"/>
                <w:sz w:val="20"/>
              </w:rPr>
              <w:t>1.6</w:t>
            </w:r>
          </w:p>
        </w:tc>
        <w:tc>
          <w:tcPr>
            <w:tcW w:type="dxa" w:w="1984"/>
          </w:tcPr>
          <w:p>
            <w:r>
              <w:rPr>
                <w:rFonts w:ascii="Aptos" w:hAnsi="Aptos"/>
                <w:sz w:val="20"/>
              </w:rPr>
              <w:t>0.7</w:t>
            </w:r>
          </w:p>
        </w:tc>
        <w:tc>
          <w:tcPr>
            <w:tcW w:type="dxa" w:w="1701"/>
          </w:tcPr>
          <w:p>
            <w:r>
              <w:rPr>
                <w:rFonts w:ascii="Aptos" w:hAnsi="Aptos"/>
                <w:sz w:val="20"/>
              </w:rPr>
              <w:t>+1.0</w:t>
            </w:r>
          </w:p>
        </w:tc>
      </w:tr>
      <w:tr>
        <w:tc>
          <w:tcPr>
            <w:tcW w:type="dxa" w:w="3118"/>
          </w:tcPr>
          <w:p>
            <w:r>
              <w:rPr>
                <w:rFonts w:ascii="Aptos" w:hAnsi="Aptos"/>
                <w:sz w:val="20"/>
              </w:rPr>
              <w:t>ING Groep N.V.</w:t>
            </w:r>
          </w:p>
        </w:tc>
        <w:tc>
          <w:tcPr>
            <w:tcW w:type="dxa" w:w="1701"/>
          </w:tcPr>
          <w:p>
            <w:r>
              <w:rPr>
                <w:rFonts w:ascii="Aptos" w:hAnsi="Aptos"/>
                <w:sz w:val="20"/>
              </w:rPr>
              <w:t>1.3</w:t>
            </w:r>
          </w:p>
        </w:tc>
        <w:tc>
          <w:tcPr>
            <w:tcW w:type="dxa" w:w="1984"/>
          </w:tcPr>
          <w:p>
            <w:r>
              <w:rPr>
                <w:rFonts w:ascii="Aptos" w:hAnsi="Aptos"/>
                <w:sz w:val="20"/>
              </w:rPr>
              <w:t>0.1</w:t>
            </w:r>
          </w:p>
        </w:tc>
        <w:tc>
          <w:tcPr>
            <w:tcW w:type="dxa" w:w="1701"/>
          </w:tcPr>
          <w:p>
            <w:r>
              <w:rPr>
                <w:rFonts w:ascii="Aptos" w:hAnsi="Aptos"/>
                <w:sz w:val="20"/>
              </w:rPr>
              <w:t>+1.2</w:t>
            </w:r>
          </w:p>
        </w:tc>
      </w:tr>
      <w:tr>
        <w:tc>
          <w:tcPr>
            <w:tcW w:type="dxa" w:w="3118"/>
          </w:tcPr>
          <w:p>
            <w:r>
              <w:rPr>
                <w:rFonts w:ascii="Aptos" w:hAnsi="Aptos"/>
                <w:sz w:val="20"/>
              </w:rPr>
              <w:t>Broadcom Inc.</w:t>
            </w:r>
          </w:p>
        </w:tc>
        <w:tc>
          <w:tcPr>
            <w:tcW w:type="dxa" w:w="1701"/>
          </w:tcPr>
          <w:p>
            <w:r>
              <w:rPr>
                <w:rFonts w:ascii="Aptos" w:hAnsi="Aptos"/>
                <w:sz w:val="20"/>
              </w:rPr>
              <w:t>2.4</w:t>
            </w:r>
          </w:p>
        </w:tc>
        <w:tc>
          <w:tcPr>
            <w:tcW w:type="dxa" w:w="1984"/>
          </w:tcPr>
          <w:p>
            <w:r>
              <w:rPr>
                <w:rFonts w:ascii="Aptos" w:hAnsi="Aptos"/>
                <w:sz w:val="20"/>
              </w:rPr>
              <w:t>1.9</w:t>
            </w:r>
          </w:p>
        </w:tc>
        <w:tc>
          <w:tcPr>
            <w:tcW w:type="dxa" w:w="1701"/>
          </w:tcPr>
          <w:p>
            <w:r>
              <w:rPr>
                <w:rFonts w:ascii="Aptos" w:hAnsi="Aptos"/>
                <w:sz w:val="20"/>
              </w:rPr>
              <w:t>+0.5</w:t>
            </w:r>
          </w:p>
        </w:tc>
      </w:tr>
      <w:tr>
        <w:tc>
          <w:tcPr>
            <w:tcW w:type="dxa" w:w="3118"/>
          </w:tcPr>
          <w:p>
            <w:r>
              <w:rPr>
                <w:rFonts w:ascii="Aptos" w:hAnsi="Aptos"/>
                <w:sz w:val="20"/>
              </w:rPr>
              <w:t>Danone SA</w:t>
            </w:r>
          </w:p>
        </w:tc>
        <w:tc>
          <w:tcPr>
            <w:tcW w:type="dxa" w:w="1701"/>
          </w:tcPr>
          <w:p>
            <w:r>
              <w:rPr>
                <w:rFonts w:ascii="Aptos" w:hAnsi="Aptos"/>
                <w:sz w:val="20"/>
              </w:rPr>
              <w:t>0.8</w:t>
            </w:r>
          </w:p>
        </w:tc>
        <w:tc>
          <w:tcPr>
            <w:tcW w:type="dxa" w:w="1984"/>
          </w:tcPr>
          <w:p>
            <w:r>
              <w:rPr>
                <w:rFonts w:ascii="Aptos" w:hAnsi="Aptos"/>
                <w:sz w:val="20"/>
              </w:rPr>
              <w:t>0.1</w:t>
            </w:r>
          </w:p>
        </w:tc>
        <w:tc>
          <w:tcPr>
            <w:tcW w:type="dxa" w:w="1701"/>
          </w:tcPr>
          <w:p>
            <w:r>
              <w:rPr>
                <w:rFonts w:ascii="Aptos" w:hAnsi="Aptos"/>
                <w:sz w:val="20"/>
              </w:rPr>
              <w:t>+0.7</w:t>
            </w:r>
          </w:p>
        </w:tc>
      </w:tr>
      <w:tr>
        <w:tc>
          <w:tcPr>
            <w:tcW w:type="dxa" w:w="3118"/>
          </w:tcPr>
          <w:p>
            <w:r>
              <w:rPr>
                <w:rFonts w:ascii="Aptos" w:hAnsi="Aptos"/>
                <w:sz w:val="20"/>
              </w:rPr>
              <w:t>FAST RETAILING CO., LTD.</w:t>
            </w:r>
          </w:p>
        </w:tc>
        <w:tc>
          <w:tcPr>
            <w:tcW w:type="dxa" w:w="1701"/>
          </w:tcPr>
          <w:p>
            <w:r>
              <w:rPr>
                <w:rFonts w:ascii="Aptos" w:hAnsi="Aptos"/>
                <w:sz w:val="20"/>
              </w:rPr>
              <w:t>1.9</w:t>
            </w:r>
          </w:p>
        </w:tc>
        <w:tc>
          <w:tcPr>
            <w:tcW w:type="dxa" w:w="1984"/>
          </w:tcPr>
          <w:p>
            <w:r>
              <w:rPr>
                <w:rFonts w:ascii="Aptos" w:hAnsi="Aptos"/>
                <w:sz w:val="20"/>
              </w:rPr>
              <w:t>0.1</w:t>
            </w:r>
          </w:p>
        </w:tc>
        <w:tc>
          <w:tcPr>
            <w:tcW w:type="dxa" w:w="1701"/>
          </w:tcPr>
          <w:p>
            <w:r>
              <w:rPr>
                <w:rFonts w:ascii="Aptos" w:hAnsi="Aptos"/>
                <w:sz w:val="20"/>
              </w:rPr>
              <w:t>+1.8</w:t>
            </w:r>
          </w:p>
        </w:tc>
      </w:tr>
      <w:tr>
        <w:tc>
          <w:tcPr>
            <w:tcW w:type="dxa" w:w="3118"/>
          </w:tcPr>
          <w:p>
            <w:r>
              <w:rPr>
                <w:rFonts w:ascii="Aptos" w:hAnsi="Aptos"/>
                <w:sz w:val="20"/>
              </w:rPr>
              <w:t>Howmet Aerospace Inc.</w:t>
            </w:r>
          </w:p>
        </w:tc>
        <w:tc>
          <w:tcPr>
            <w:tcW w:type="dxa" w:w="1701"/>
          </w:tcPr>
          <w:p>
            <w:r>
              <w:rPr>
                <w:rFonts w:ascii="Aptos" w:hAnsi="Aptos"/>
                <w:sz w:val="20"/>
              </w:rPr>
              <w:t>0.8</w:t>
            </w:r>
          </w:p>
        </w:tc>
        <w:tc>
          <w:tcPr>
            <w:tcW w:type="dxa" w:w="1984"/>
          </w:tcPr>
          <w:p>
            <w:r>
              <w:rPr>
                <w:rFonts w:ascii="Aptos" w:hAnsi="Aptos"/>
                <w:sz w:val="20"/>
              </w:rPr>
              <w:t>0.1</w:t>
            </w:r>
          </w:p>
        </w:tc>
        <w:tc>
          <w:tcPr>
            <w:tcW w:type="dxa" w:w="1701"/>
          </w:tcPr>
          <w:p>
            <w:r>
              <w:rPr>
                <w:rFonts w:ascii="Aptos" w:hAnsi="Aptos"/>
                <w:sz w:val="20"/>
              </w:rPr>
              <w:t>+0.7</w:t>
            </w:r>
          </w:p>
        </w:tc>
      </w:tr>
      <w:tr>
        <w:tc>
          <w:tcPr>
            <w:tcW w:type="dxa" w:w="3118"/>
          </w:tcPr>
          <w:p>
            <w:r>
              <w:rPr>
                <w:rFonts w:ascii="Aptos" w:hAnsi="Aptos"/>
                <w:sz w:val="20"/>
              </w:rPr>
              <w:t>Fanuc Corporation</w:t>
            </w:r>
          </w:p>
        </w:tc>
        <w:tc>
          <w:tcPr>
            <w:tcW w:type="dxa" w:w="1701"/>
          </w:tcPr>
          <w:p>
            <w:r>
              <w:rPr>
                <w:rFonts w:ascii="Aptos" w:hAnsi="Aptos"/>
                <w:sz w:val="20"/>
              </w:rPr>
              <w:t>1.6</w:t>
            </w:r>
          </w:p>
        </w:tc>
        <w:tc>
          <w:tcPr>
            <w:tcW w:type="dxa" w:w="1984"/>
          </w:tcPr>
          <w:p>
            <w:r>
              <w:rPr>
                <w:rFonts w:ascii="Aptos" w:hAnsi="Aptos"/>
                <w:sz w:val="20"/>
              </w:rPr>
              <w:t>0.0</w:t>
            </w:r>
          </w:p>
        </w:tc>
        <w:tc>
          <w:tcPr>
            <w:tcW w:type="dxa" w:w="1701"/>
          </w:tcPr>
          <w:p>
            <w:r>
              <w:rPr>
                <w:rFonts w:ascii="Aptos" w:hAnsi="Aptos"/>
                <w:sz w:val="20"/>
              </w:rPr>
              <w:t>+1.6</w:t>
            </w:r>
          </w:p>
        </w:tc>
      </w:tr>
      <w:tr>
        <w:tc>
          <w:tcPr>
            <w:tcW w:type="dxa" w:w="3118"/>
          </w:tcPr>
          <w:p>
            <w:r>
              <w:rPr>
                <w:rFonts w:ascii="Aptos" w:hAnsi="Aptos"/>
                <w:sz w:val="20"/>
              </w:rPr>
              <w:t>Cummins Inc.</w:t>
            </w:r>
          </w:p>
        </w:tc>
        <w:tc>
          <w:tcPr>
            <w:tcW w:type="dxa" w:w="1701"/>
          </w:tcPr>
          <w:p>
            <w:r>
              <w:rPr>
                <w:rFonts w:ascii="Aptos" w:hAnsi="Aptos"/>
                <w:sz w:val="20"/>
              </w:rPr>
              <w:t>3.0</w:t>
            </w:r>
          </w:p>
        </w:tc>
        <w:tc>
          <w:tcPr>
            <w:tcW w:type="dxa" w:w="1984"/>
          </w:tcPr>
          <w:p>
            <w:r>
              <w:rPr>
                <w:rFonts w:ascii="Aptos" w:hAnsi="Aptos"/>
                <w:sz w:val="20"/>
              </w:rPr>
              <w:t>0.1</w:t>
            </w:r>
          </w:p>
        </w:tc>
        <w:tc>
          <w:tcPr>
            <w:tcW w:type="dxa" w:w="1701"/>
          </w:tcPr>
          <w:p>
            <w:r>
              <w:rPr>
                <w:rFonts w:ascii="Aptos" w:hAnsi="Aptos"/>
                <w:sz w:val="20"/>
              </w:rPr>
              <w:t>+2.9</w:t>
            </w:r>
          </w:p>
        </w:tc>
      </w:tr>
      <w:tr>
        <w:tc>
          <w:tcPr>
            <w:tcW w:type="dxa" w:w="3118"/>
          </w:tcPr>
          <w:p>
            <w:r>
              <w:rPr>
                <w:rFonts w:ascii="Aptos" w:hAnsi="Aptos"/>
                <w:sz w:val="20"/>
              </w:rPr>
              <w:t>Applied Materials, Inc.</w:t>
            </w:r>
          </w:p>
        </w:tc>
        <w:tc>
          <w:tcPr>
            <w:tcW w:type="dxa" w:w="1701"/>
          </w:tcPr>
          <w:p>
            <w:r>
              <w:rPr>
                <w:rFonts w:ascii="Aptos" w:hAnsi="Aptos"/>
                <w:sz w:val="20"/>
              </w:rPr>
              <w:t>4.0</w:t>
            </w:r>
          </w:p>
        </w:tc>
        <w:tc>
          <w:tcPr>
            <w:tcW w:type="dxa" w:w="1984"/>
          </w:tcPr>
          <w:p>
            <w:r>
              <w:rPr>
                <w:rFonts w:ascii="Aptos" w:hAnsi="Aptos"/>
                <w:sz w:val="20"/>
              </w:rPr>
              <w:t>0.4</w:t>
            </w:r>
          </w:p>
        </w:tc>
        <w:tc>
          <w:tcPr>
            <w:tcW w:type="dxa" w:w="1701"/>
          </w:tcPr>
          <w:p>
            <w:r>
              <w:rPr>
                <w:rFonts w:ascii="Aptos" w:hAnsi="Aptos"/>
                <w:sz w:val="20"/>
              </w:rPr>
              <w:t>+3.5</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part of the same rally in the technology sector that the fund's underweight position there missed most of.</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Microsoft's most significant market-moving event was its fiscal fourth-quarter results, released on 29 July 2026, just before the reporting month began: Microsoft Corp. shares soared after the company reported the fastest cloud growth in four years, with Azure cloud revenue rising 43% during the fiscal fourth quarter, the fastest quarterly growth since early 2022 and topping analysts' average estimate for a 40% increase. That result drove Microsoft to add nearly half a trillion dollars to its value, the most by any stock in a single day, with shares soaring 16%, their biggest gain since October 2008, a move NBR's Nicholas Pointon described as Microsoft's "largest single-day jump in the company's history after robust earnings helped quell concerns about its huge AI spend".</w:t>
        <w:br/>
        <w:br/>
        <w:t>Within the month ended 31 August 2026 itself, the main Microsoft-specific news was a disclosure that Microsoft Corp. generates most of its artificial intelligence revenue from OpenAI, with the software giant recording $24.1 billion in sales from the AI firm during the year ended in June, a filing that Bloomberg followed up later in the month with a piece on the narrow customer base underpinning Microsoft's AI cloud business, noting the narrow scope of major customers for Microsoft's AI cloud business. Search results did not report a specific share price move tied to either the 5 August or 24 August disclosures, so no share price reaction to this news can be confirmed for the period.</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Searches did not surface any financial results or company-specific announcement published by ASML Holding during the month ended 31 August 2026, nor any share price reaction tied to such a disclosure in that window. ASML's most recent quarterly results were released on 15 July 2026, when ASML reported €9.3 billion total net sales and €2.9 billion net income in Q2 2026 and raised its outlook, expecting 2026 total net sales between €43 billion and €45 billion with a gross margin between 54% and 56%. The only scheduled corporate action falling within August was a routine dividend payment, with an interim dividend over 2026 of €1.88 per ordinary share made payable on 5 August 2026, which is not typically a market-moving disclosure. No search result described a share price move, analyst commentary, or market reaction attributable specifically to an ASML announcement made during August 2026.</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Mixed reception</w:t>
      </w:r>
    </w:p>
    <w:p>
      <w:pPr>
        <w:ind w:left="340"/>
      </w:pPr>
      <w:r>
        <w:rPr>
          <w:rFonts w:ascii="Aptos" w:hAnsi="Aptos"/>
          <w:sz w:val="21"/>
        </w:rPr>
        <w:t>On 4 August 2026, Novo Nordisk published its half-year and second-quarter 2026 results, reporting that adjusted sales increased by 7% at CER and adjusted operating profit increased by 11% at CER, alongside a raised full-year outlook. The result also disclosed DKK 6.3 billion in non-recurring, non-cash impairment charges related to intangible pipeline assets, including monlunabant at DKK 4.0 billion, a detail that tempered the headline growth figures.</w:t>
        <w:br/>
        <w:br/>
        <w:t>Despite the improved guidance, the market reception was subdued: Bloomberg's Nordic markets newsletter observed that even though Novo Nordisk raised its outlook that week, the earnings report did little to upend the investor perception that the company is struggling against rival Eli Lilly. Commentary from fund reporting on the period similarly noted that Novo Nordisk shares came under pressure during the period on pricing concerns and competitive headwinds in diabetes and obesity treatments, with market share gains failing to materialise in prescription data.</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equities extended their advance in August 2026, but the month was volatile and concentrated in the mega-cap technology and artificial intelligence names that dominate the MSCI World Index. Early strength came from strong earnings from AI infrastructure bellwethers, with US stocks led higher by the technology sector after results from Coreweave Inc. and Super Micro Computer Inc. affirmed confidence in the AI trade, with Coreweave shares rising as much as 24% and Super Micro nearly 18%. That momentum reversed sharply mid-month when a selloff in chipmakers sent stocks lower as growing anxiety about inflation and rising government debt kept bond yields elevated, driving a closely watched gauge of semiconductor firms down by 5% and the Nasdaq 100 down 1.7%. Conditions deteriorated further into month end as a flare-up in geopolitical risks sent stocks and bonds lower as oil climbed toward $86 a barrel amid escalating Middle East tensions, lifting Treasury 10-year yields to the highest since January 2025 and causing the S&amp;P 500 to trim its August advance. Given the benchmark's heavy weighting to the mega-cap AI and semiconductor names that whipsawed through this period, the fund's more modest 1.14% gain against the benchmark's 2.58% is consistent with lighter exposure to the concentrated technology rally that drove headline index returns during the month, even as the fund's longer-run figures, including the 14.20% one-year return against 12.70% for the benchmark, point to a more resilient pattern of relative performance outside this particular month.</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the largest drag on relative performance during the month, and the evidence points squarely to the AI-driven rally the fund evidently did not fully capture. Early in August, the world's biggest technology companies suddenly led the way again after spending much of the year in the doghouse, triggered by earnings from Microsoft and Amazon showing accelerating AI-related revenue growth. The rally intensified late in the month when a blockbuster outlook from Nvidia spurred gains in technology stocks, with the company surging almost 9% and adding $442 billion in market value after guiding to about 70% revenue growth next fiscal year, a session in which the S&amp;P 500 ended 0.7% higher even as every other sector fell, with the equal-weight benchmark actually declining, reflecting how narrow the advance was. Industrials, the second-largest detractor, and Consumer Discretionary also worked against the fund in a month when tariff-exposed cyclicals and household names came under pressure, consistent with reporting that European equities may be underestimating the risk posed by US tariffs as healthcare, industrials and consumer discretionary remain the most exposed, while broader risk appetite was also dented mid-month when the S&amp;P 500 lost 0.9% as Walmart sank on disappointing sales and oil settled near $88 after Trump's threat to crush the Iranian economy clouded peace prospects. Energy's modest drag fits a similar pattern of oil volatility through the month, with crude spiking on Strait of Hormuz tensions before easing later when Brent crude settled below $90 on hopes for a revival of energy flows through the Strait of Hormuz, with Iran and Oman discussing an interim framework. Utilities, by contrast, provided the fund's largest positive effect, though this came against a backdrop where the sector's leadership had already been fading, since after starting 2026 with a surge of more than 11% through February, utilities in the S&amp;P 500 were almost flat year-to-date for the second-worst performance among the 11 main industries, suggesting the fund's stance in this sector was rewarded even as the broader utilities trade cooled.</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Bloomberg's compilation of 2026 outlooks found broad consensus that AI remains the dominant equity theme, with the BlackRock Investment Institute arguing the technology will likely "keep trumping tariffs and traditional macro drivers", even as several strategists cautioned on concentration: JPMorgan Wealth Management noted "the biggest risk, to us, is not having exposure to this transformational technology," while Fidelity flagged that "there is a disconnect between the positive short-term environment for risk assets, and a broader structural instability," citing global fragmentation, a depreciating dollar and AI capex trends as themes to watch. This debate bears directly on the fund's 5.1% underweight to Information Technology and 3.5% underweight to Communication Services, sectors that continue to carry the bulk of AI-driven index concentration that commentators such as JPMorgan CEO Jamie Dimon and former Bank of England governor Andrew Bailey have separately warned about. On rates, State Street's 2026 outlook argued for "a more supportive macro backdrop for global growth," with policy rates likely to fall as the Fed takes stock of a softening labour market, a backdrop that has historically favoured bank earnings and lending margins and is consistent with reporting that financials were among the best-performing sectors of 2025, supporting the case for the fund's 8.3% overweight to that sector. The 4.5% overweight to Industrials sits against a more mixed signal, with Bloomberg Intelligence analysts flagging that trade tariffs, softening demand and geopolitical uncertainty could be key risks for the cyclical and volatile industrial sector in 2026, a caution that applies equally to the fund's smaller underweights in Consumer Discretionary and Real Estate given their sensitivity to the same trade and rate variables.</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