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+1.14</w:t>
            </w:r>
          </w:p>
        </w:tc>
        <w:tc>
          <w:tcPr>
            <w:tcW w:type="dxa" w:w="1984"/>
          </w:tcPr>
          <w:p>
            <w:r>
              <w:rPr>
                <w:rFonts w:ascii="Aptos" w:hAnsi="Aptos"/>
                <w:sz w:val="20"/>
              </w:rPr>
              <w:t>+2.58</w:t>
            </w:r>
          </w:p>
        </w:tc>
        <w:tc>
          <w:tcPr>
            <w:tcW w:type="dxa" w:w="1701"/>
          </w:tcPr>
          <w:p>
            <w:r>
              <w:rPr>
                <w:rFonts w:ascii="Aptos" w:hAnsi="Aptos"/>
                <w:sz w:val="20"/>
              </w:rPr>
              <w:t>-1.44</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part of the same rally in the technology sector that the fund's underweight position there missed most of.</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Received positively</w:t>
      </w:r>
    </w:p>
    <w:p>
      <w:pPr>
        <w:ind w:left="340"/>
      </w:pPr>
      <w:r>
        <w:rPr>
          <w:rFonts w:ascii="Aptos" w:hAnsi="Aptos"/>
          <w:sz w:val="21"/>
        </w:rPr>
        <w:t>Microsoft's most consequential disclosure of the period fell just outside the reporting month: its fiscal fourth-quarter results, released after the bell on 29 July 2026, drove shares to soar 16%, their biggest gain since October 2008, adding roughly $450 billion to market capitalisation, the largest single-day market-value gain in stock market history. Analysts framed the move as confirmation that heavy AI capital spending was starting to pay off: Goldman Sachs' Gabriela Borges said "you're seeing more breadcrumbs around Microsoft's ability to pull varying levers on the monetization side that perhaps were not nearly as obvious as before". Within the month ended 31 August 2026 itself, the main Microsoft-specific news was a 5 August 2026 filing showing $24.1 billion in sales from OpenAI during the year ended in June, disclosed in a filing the prior week, a figure Microsoft did not update when it reported fiscal fourth-quarter earnings; searches found no report of a distinct share price reaction to this specific disclosure, so it appears to have been absorbed as a data point rather than a fresh market-moving event.</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Search results turned up no distinct company announcements or results published by ASML Holding during the month ended 31 August 2026 itself: the last major disclosure was the Q2 2026 results release on 15 July 2026, and the only August dated item was the payment of the previously announced interim dividend. That interim dividend of €1.88 per ordinary share was made payable on August 5, 2026, but this was a scheduled payment of a dividend already declared and reported on in July, not a new disclosure. No search results indicated a share price reaction, analyst commentary or market response tied specifically to an August 2026 announcement from ASML.</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Mixed reception</w:t>
      </w:r>
    </w:p>
    <w:p>
      <w:pPr>
        <w:ind w:left="340"/>
      </w:pPr>
      <w:r>
        <w:rPr>
          <w:rFonts w:ascii="Aptos" w:hAnsi="Aptos"/>
          <w:sz w:val="21"/>
        </w:rPr>
        <w:t>Based on searches covering the reporting month, Novo Nordisk's key disclosure fell just before the period began: on 4 August 2026 the company announced adjusted sales and adjusted operating profit for the second quarter of 2026 and raised 2026 full-year adjusted sales and adjusted operating profit outlook at CER, with Q2 2026 adjusted sales increasing by 7% at CER and adjusted operating profit increasing by 11% at CER. Despite the upgraded guidance, Bloomberg's Nordic newsletter reported that "the Danish drugmaker's latest earnings report did little to upend the investor perception that the company is struggling against rival Eli Lilly", indicating the market response through August remained coloured by competitive concerns rather than the headline beat. Searches did not return a specific intraday share price move for 4 August 2026 itself, so no percentage figure for that day can be given. Sentiment carried into the following month, when Novo Nordisk's Capital Markets Day update was met with a sharper negative reaction, with shares plunging as much as 7.7% in early trading as the company pledged to launch more than five blockbusters and deliver more than $23 billion in new sales in coming years, underscoring that investors continued to prioritise competitive positioning against Eli Lilly over management's growth narrative.</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Global equity markets moved through a volatile August 2026, with the technology and AI-related complex driving much of the swing that ultimately saw the MSCI World Index (NZD, unhedged) outpace the fund over the month. Early in the period, easing inflation data lifted US equities, with a subdued inflation reading helping ease interest-rate hike concerns, lifting the S&amp;P 500 by 0.3% and the Nasdaq 100 by 0.9%, aided by strong results from data-centre names such as CoreWeave and Super Micro Computer, whose shares rose as much as 24% and nearly 18% respectively on confidence in the AI trade. That leadership reversed sharply mid-month, when a selloff in chipmakers sent stocks lower amid growing anxiety about inflation and rising government debt, driving a closely watched semiconductor gauge down 5% and the Nasdaq 100 down 1.7%. Volatility persisted into month end as hawkish comments from Federal Reserve Chair Kevin Warsh on the prospect of higher US interest rates hit emerging-market equities, with South Korean and Taiwanese indexes leading losses, while a flare-up in Middle East geopolitical risk sent stocks and bonds lower as oil climbed, lifting Treasury 10-year yields to the highest since January 2025. Against this backdrop of a concentrated, AI-and-mega-cap-led index swinging between rate-cut optimism and inflation and geopolitical anxiety, the MSCI World's heavier weighting to the large US technology names that led both the rally and the subsequent pullback appears to have driven its stronger single-month result relative to the fund, even as the fund's broader positioning delivered ahead of benchmark over the three-month, one-year and since-inception periods.</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Information Technology was by far the largest drag on the fund's relative performance in the month, a period bookended by a mid-month semiconductor rout and a late-month rebound. In the middle of August, a selloff in chipmakers sent stocks lower, with the market also falling as growing anxiety about inflation and rising government debt kept bond yields elevated, and a closely watched gauge of semiconductor firms fell by 5%. That volatility persisted into the following week, when a selloff in chipmakers outweighed a drop in oil as traders parsed plans to isolate Iran from the global economy, with semiconductor giants sinking just days ahead of Nvidia's earnings, before sentiment reversed on 27 August as Nvidia's blockbuster outlook lifted equities and rekindled the artificial intelligence trade, though that exuberance did not spread to Alphabet, whose shares slipped amid worry the company is losing its edge in the AI race. Industrials, the second-largest detractor, faced a similar cost squeeze, as AI hardware continued to drive August's increase in import prices, commodity-price volatility from the Iran war raised the cost of industrial materials at the border, and companies faced higher input costs and rising expenses tied to the AI buildout. The month also closed on a weaker note for cyclicals generally, with a flare-up in geopolitical risks sending stocks and bonds lower as oil climbed, with escalating tensions in the Middle East driving US crude near $86 and lifting Treasury 10-year yields to the highest since January 2025, trimming the S&amp;P 500's August advance, a backdrop consistent with the drags recorded in Consumer Discretionary and Energy. Against that AI- and geopolitics-driven tape, the smaller positive contributions from Utilities, Financials, Real Estate, Health Care and Materials were not large enough to offset the scale of the Information Technology and Industrials shortfalls.</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Heading into the period after 31 August 2026, the fund's largest active exposures sit around financials (+8.3%) and industrials (+4.5%), set against a large information technology underweight (-5.1%) and smaller underweights in communication services (-3.5%) and utilities (-2.5%). Bloomberg's compilation of more than 60 institutions' 2026 outlooks found the optimism is almost universal, with Fidelity International calling AI "the defining theme for equity markets" in 2026, a backdrop that leaves the fund's technology underweight running against the dominant consensus theme even as even the most bearish firm, BCA Research, stays neutral on stocks on the tailwind of AI capex, with JPMorgan Wealth Management warning that the biggest risk is not having exposure to the technology. Federal Reserve policymakers have flagged the same tension from the other side, noting in July that some participants discussed the possibility that AI developments could disappoint, leading to a significant repricing of stocks, and focused on vulnerabilities associated with the financing of the rapid AI-related infrastructure buildout, given high equity valuations of AI-linked firms, a risk that bears on both the industrials overweight (data-centre and capex-linked names) and the technology underweight. On rates, survey-based measures pointed to only gradual easing rather than a sharp cutting cycle, with the January FOMC minutes showing market-based measures of policy rate expectations indicating one to two 25 basis point rate cuts this year, a path that would offer only limited relief to the fund's underweight positions in rate-sensitive utilities and real estate while remaining broadly supportive for the financials overweight. More broadly, Bloomberg's indices team characterised the macro backdrop as broadly supportive of risk assets, with growth proving resilient, inflation pressures moderating, and financial conditions easing, even as elevated U.S. stock market valuations argue for strategic and disciplined allocations, a caveat that applies directly to a portfolio running a heavy technology underweight against a market where valuation and AI-capex sentiment remain the key swing factors.</w:t>
      </w:r>
    </w:p>
    <w:p>
      <w:pPr>
        <w:pStyle w:val="Heading1"/>
      </w:pPr>
      <w:r>
        <w:rPr>
          <w:rFonts w:ascii="Aptos" w:hAnsi="Aptos"/>
          <w:color w:val="1A2E3B"/>
        </w:rPr>
        <w:t>Sector</w:t>
      </w:r>
    </w:p>
    <w:tbl>
      <w:tblGrid>
        <w:gridCol w:w="2268"/>
        <w:gridCol w:w="1247"/>
        <w:gridCol w:w="1417"/>
        <w:gridCol w:w="1247"/>
        <w:gridCol w:w="1247"/>
        <w:gridCol w:w="1247"/>
        <w:gridCol w:w="1247"/>
      </w:tblGrid>
      <w:tblPr>
        <w:tblW w:type="auto" w:w="0"/>
        <w:jc w:val="left"/>
        <w:tblLayout w:type="fixed"/>
        <w:tblLook w:firstColumn="1" w:firstRow="1" w:lastColumn="0" w:lastRow="0" w:noHBand="0" w:noVBand="1" w:val="04A0"/>
      </w:tblPr>
      <w:tr>
        <w:tc>
          <w:tcPr>
            <w:tcW w:type="dxa" w:w="2268"/>
            <w:shd w:val="clear" w:color="auto" w:fill="E8EEEC"/>
          </w:tcPr>
          <w:p>
            <w:pPr>
              <w:jc w:val="left"/>
            </w:pPr>
            <w:r>
              <w:rPr>
                <w:rFonts w:ascii="Aptos" w:hAnsi="Aptos"/>
                <w:b/>
                <w:color w:val="1A2E3B"/>
                <w:sz w:val="20"/>
              </w:rPr>
            </w:r>
          </w:p>
        </w:tc>
        <w:tc>
          <w:tcPr>
            <w:tcW w:type="dxa" w:w="1247"/>
            <w:shd w:val="clear" w:color="auto" w:fill="E8EEEC"/>
          </w:tcPr>
          <w:p>
            <w:pPr>
              <w:jc w:val="left"/>
            </w:pPr>
            <w:r>
              <w:rPr>
                <w:rFonts w:ascii="Aptos" w:hAnsi="Aptos"/>
                <w:b/>
                <w:color w:val="1A2E3B"/>
                <w:sz w:val="20"/>
              </w:rPr>
              <w:t>Fund (%)</w:t>
            </w:r>
          </w:p>
        </w:tc>
        <w:tc>
          <w:tcPr>
            <w:tcW w:type="dxa" w:w="1417"/>
            <w:shd w:val="clear" w:color="auto" w:fill="E8EEEC"/>
          </w:tcPr>
          <w:p>
            <w:pPr>
              <w:jc w:val="left"/>
            </w:pPr>
            <w:r>
              <w:rPr>
                <w:rFonts w:ascii="Aptos" w:hAnsi="Aptos"/>
                <w:b/>
                <w:color w:val="1A2E3B"/>
                <w:sz w:val="20"/>
              </w:rPr>
              <w:t>Benchmark (%)</w:t>
            </w:r>
          </w:p>
        </w:tc>
        <w:tc>
          <w:tcPr>
            <w:tcW w:type="dxa" w:w="1247"/>
            <w:shd w:val="clear" w:color="auto" w:fill="E8EEEC"/>
          </w:tcPr>
          <w:p>
            <w:pPr>
              <w:jc w:val="left"/>
            </w:pPr>
            <w:r>
              <w:rPr>
                <w:rFonts w:ascii="Aptos" w:hAnsi="Aptos"/>
                <w:b/>
                <w:color w:val="1A2E3B"/>
                <w:sz w:val="20"/>
              </w:rPr>
              <w:t>Active (%)</w:t>
            </w:r>
          </w:p>
        </w:tc>
        <w:tc>
          <w:tcPr>
            <w:tcW w:type="dxa" w:w="1247"/>
            <w:shd w:val="clear" w:color="auto" w:fill="E8EEEC"/>
          </w:tcPr>
          <w:p>
            <w:pPr>
              <w:jc w:val="left"/>
            </w:pPr>
            <w:r>
              <w:rPr>
                <w:rFonts w:ascii="Aptos" w:hAnsi="Aptos"/>
                <w:b/>
                <w:color w:val="1A2E3B"/>
                <w:sz w:val="20"/>
              </w:rPr>
              <w:t>Alloc. (%)</w:t>
            </w:r>
          </w:p>
        </w:tc>
        <w:tc>
          <w:tcPr>
            <w:tcW w:type="dxa" w:w="1247"/>
            <w:shd w:val="clear" w:color="auto" w:fill="E8EEEC"/>
          </w:tcPr>
          <w:p>
            <w:pPr>
              <w:jc w:val="left"/>
            </w:pPr>
            <w:r>
              <w:rPr>
                <w:rFonts w:ascii="Aptos" w:hAnsi="Aptos"/>
                <w:b/>
                <w:color w:val="1A2E3B"/>
                <w:sz w:val="20"/>
              </w:rPr>
              <w:t>Select. (%)</w:t>
            </w:r>
          </w:p>
        </w:tc>
        <w:tc>
          <w:tcPr>
            <w:tcW w:type="dxa" w:w="1247"/>
            <w:shd w:val="clear" w:color="auto" w:fill="E8EEEC"/>
          </w:tcPr>
          <w:p>
            <w:pPr>
              <w:jc w:val="left"/>
            </w:pPr>
            <w:r>
              <w:rPr>
                <w:rFonts w:ascii="Aptos" w:hAnsi="Aptos"/>
                <w:b/>
                <w:color w:val="1A2E3B"/>
                <w:sz w:val="20"/>
              </w:rPr>
              <w:t>Total (%)</w:t>
            </w:r>
          </w:p>
        </w:tc>
      </w:tr>
      <w:tr>
        <w:tc>
          <w:tcPr>
            <w:tcW w:type="dxa" w:w="2268"/>
          </w:tcPr>
          <w:p>
            <w:r>
              <w:rPr>
                <w:rFonts w:ascii="Aptos" w:hAnsi="Aptos"/>
                <w:sz w:val="20"/>
              </w:rPr>
              <w:t>Utilities</w:t>
            </w:r>
          </w:p>
        </w:tc>
        <w:tc>
          <w:tcPr>
            <w:tcW w:type="dxa" w:w="1247"/>
          </w:tcPr>
          <w:p>
            <w:r>
              <w:rPr>
                <w:rFonts w:ascii="Aptos" w:hAnsi="Aptos"/>
                <w:sz w:val="20"/>
              </w:rPr>
              <w:t>0.0</w:t>
            </w:r>
          </w:p>
        </w:tc>
        <w:tc>
          <w:tcPr>
            <w:tcW w:type="dxa" w:w="1417"/>
          </w:tcPr>
          <w:p>
            <w:r>
              <w:rPr>
                <w:rFonts w:ascii="Aptos" w:hAnsi="Aptos"/>
                <w:sz w:val="20"/>
              </w:rPr>
              <w:t>2.5</w:t>
            </w:r>
          </w:p>
        </w:tc>
        <w:tc>
          <w:tcPr>
            <w:tcW w:type="dxa" w:w="1247"/>
          </w:tcPr>
          <w:p>
            <w:r>
              <w:rPr>
                <w:rFonts w:ascii="Aptos" w:hAnsi="Aptos"/>
                <w:sz w:val="20"/>
              </w:rPr>
              <w:t>-2.5</w:t>
            </w:r>
          </w:p>
        </w:tc>
        <w:tc>
          <w:tcPr>
            <w:tcW w:type="dxa" w:w="1247"/>
          </w:tcPr>
          <w:p>
            <w:r>
              <w:rPr>
                <w:rFonts w:ascii="Aptos" w:hAnsi="Aptos"/>
                <w:sz w:val="20"/>
              </w:rPr>
              <w:t>+0.15</w:t>
            </w:r>
          </w:p>
        </w:tc>
        <w:tc>
          <w:tcPr>
            <w:tcW w:type="dxa" w:w="1247"/>
          </w:tcPr>
          <w:p>
            <w:r>
              <w:rPr>
                <w:rFonts w:ascii="Aptos" w:hAnsi="Aptos"/>
                <w:sz w:val="20"/>
              </w:rPr>
              <w:t>+0.00</w:t>
            </w:r>
          </w:p>
        </w:tc>
        <w:tc>
          <w:tcPr>
            <w:tcW w:type="dxa" w:w="1247"/>
          </w:tcPr>
          <w:p>
            <w:r>
              <w:rPr>
                <w:rFonts w:ascii="Aptos" w:hAnsi="Aptos"/>
                <w:sz w:val="20"/>
              </w:rPr>
              <w:t>+0.15</w:t>
            </w:r>
          </w:p>
        </w:tc>
      </w:tr>
      <w:tr>
        <w:tc>
          <w:tcPr>
            <w:tcW w:type="dxa" w:w="2268"/>
          </w:tcPr>
          <w:p>
            <w:r>
              <w:rPr>
                <w:rFonts w:ascii="Aptos" w:hAnsi="Aptos"/>
                <w:sz w:val="20"/>
              </w:rPr>
              <w:t>Financials</w:t>
            </w:r>
          </w:p>
        </w:tc>
        <w:tc>
          <w:tcPr>
            <w:tcW w:type="dxa" w:w="1247"/>
          </w:tcPr>
          <w:p>
            <w:r>
              <w:rPr>
                <w:rFonts w:ascii="Aptos" w:hAnsi="Aptos"/>
                <w:sz w:val="20"/>
              </w:rPr>
              <w:t>24.8</w:t>
            </w:r>
          </w:p>
        </w:tc>
        <w:tc>
          <w:tcPr>
            <w:tcW w:type="dxa" w:w="1417"/>
          </w:tcPr>
          <w:p>
            <w:r>
              <w:rPr>
                <w:rFonts w:ascii="Aptos" w:hAnsi="Aptos"/>
                <w:sz w:val="20"/>
              </w:rPr>
              <w:t>16.6</w:t>
            </w:r>
          </w:p>
        </w:tc>
        <w:tc>
          <w:tcPr>
            <w:tcW w:type="dxa" w:w="1247"/>
          </w:tcPr>
          <w:p>
            <w:r>
              <w:rPr>
                <w:rFonts w:ascii="Aptos" w:hAnsi="Aptos"/>
                <w:sz w:val="20"/>
              </w:rPr>
              <w:t>+8.3</w:t>
            </w:r>
          </w:p>
        </w:tc>
        <w:tc>
          <w:tcPr>
            <w:tcW w:type="dxa" w:w="1247"/>
          </w:tcPr>
          <w:p>
            <w:r>
              <w:rPr>
                <w:rFonts w:ascii="Aptos" w:hAnsi="Aptos"/>
                <w:sz w:val="20"/>
              </w:rPr>
              <w:t>-0.14</w:t>
            </w:r>
          </w:p>
        </w:tc>
        <w:tc>
          <w:tcPr>
            <w:tcW w:type="dxa" w:w="1247"/>
          </w:tcPr>
          <w:p>
            <w:r>
              <w:rPr>
                <w:rFonts w:ascii="Aptos" w:hAnsi="Aptos"/>
                <w:sz w:val="20"/>
              </w:rPr>
              <w:t>+0.24</w:t>
            </w:r>
          </w:p>
        </w:tc>
        <w:tc>
          <w:tcPr>
            <w:tcW w:type="dxa" w:w="1247"/>
          </w:tcPr>
          <w:p>
            <w:r>
              <w:rPr>
                <w:rFonts w:ascii="Aptos" w:hAnsi="Aptos"/>
                <w:sz w:val="20"/>
              </w:rPr>
              <w:t>+0.09</w:t>
            </w:r>
          </w:p>
        </w:tc>
      </w:tr>
      <w:tr>
        <w:tc>
          <w:tcPr>
            <w:tcW w:type="dxa" w:w="2268"/>
          </w:tcPr>
          <w:p>
            <w:r>
              <w:rPr>
                <w:rFonts w:ascii="Aptos" w:hAnsi="Aptos"/>
                <w:sz w:val="20"/>
              </w:rPr>
              <w:t>Real Estate</w:t>
            </w:r>
          </w:p>
        </w:tc>
        <w:tc>
          <w:tcPr>
            <w:tcW w:type="dxa" w:w="1247"/>
          </w:tcPr>
          <w:p>
            <w:r>
              <w:rPr>
                <w:rFonts w:ascii="Aptos" w:hAnsi="Aptos"/>
                <w:sz w:val="20"/>
              </w:rPr>
              <w:t>0.0</w:t>
            </w:r>
          </w:p>
        </w:tc>
        <w:tc>
          <w:tcPr>
            <w:tcW w:type="dxa" w:w="1417"/>
          </w:tcPr>
          <w:p>
            <w:r>
              <w:rPr>
                <w:rFonts w:ascii="Aptos" w:hAnsi="Aptos"/>
                <w:sz w:val="20"/>
              </w:rPr>
              <w:t>1.7</w:t>
            </w:r>
          </w:p>
        </w:tc>
        <w:tc>
          <w:tcPr>
            <w:tcW w:type="dxa" w:w="1247"/>
          </w:tcPr>
          <w:p>
            <w:r>
              <w:rPr>
                <w:rFonts w:ascii="Aptos" w:hAnsi="Aptos"/>
                <w:sz w:val="20"/>
              </w:rPr>
              <w:t>-1.7</w:t>
            </w:r>
          </w:p>
        </w:tc>
        <w:tc>
          <w:tcPr>
            <w:tcW w:type="dxa" w:w="1247"/>
          </w:tcPr>
          <w:p>
            <w:r>
              <w:rPr>
                <w:rFonts w:ascii="Aptos" w:hAnsi="Aptos"/>
                <w:sz w:val="20"/>
              </w:rPr>
              <w:t>+0.08</w:t>
            </w:r>
          </w:p>
        </w:tc>
        <w:tc>
          <w:tcPr>
            <w:tcW w:type="dxa" w:w="1247"/>
          </w:tcPr>
          <w:p>
            <w:r>
              <w:rPr>
                <w:rFonts w:ascii="Aptos" w:hAnsi="Aptos"/>
                <w:sz w:val="20"/>
              </w:rPr>
              <w:t>+0.00</w:t>
            </w:r>
          </w:p>
        </w:tc>
        <w:tc>
          <w:tcPr>
            <w:tcW w:type="dxa" w:w="1247"/>
          </w:tcPr>
          <w:p>
            <w:r>
              <w:rPr>
                <w:rFonts w:ascii="Aptos" w:hAnsi="Aptos"/>
                <w:sz w:val="20"/>
              </w:rPr>
              <w:t>+0.08</w:t>
            </w:r>
          </w:p>
        </w:tc>
      </w:tr>
      <w:tr>
        <w:tc>
          <w:tcPr>
            <w:tcW w:type="dxa" w:w="2268"/>
          </w:tcPr>
          <w:p>
            <w:r>
              <w:rPr>
                <w:rFonts w:ascii="Aptos" w:hAnsi="Aptos"/>
                <w:sz w:val="20"/>
              </w:rPr>
              <w:t>Health Care</w:t>
            </w:r>
          </w:p>
        </w:tc>
        <w:tc>
          <w:tcPr>
            <w:tcW w:type="dxa" w:w="1247"/>
          </w:tcPr>
          <w:p>
            <w:r>
              <w:rPr>
                <w:rFonts w:ascii="Aptos" w:hAnsi="Aptos"/>
                <w:sz w:val="20"/>
              </w:rPr>
              <w:t>10.5</w:t>
            </w:r>
          </w:p>
        </w:tc>
        <w:tc>
          <w:tcPr>
            <w:tcW w:type="dxa" w:w="1417"/>
          </w:tcPr>
          <w:p>
            <w:r>
              <w:rPr>
                <w:rFonts w:ascii="Aptos" w:hAnsi="Aptos"/>
                <w:sz w:val="20"/>
              </w:rPr>
              <w:t>9.2</w:t>
            </w:r>
          </w:p>
        </w:tc>
        <w:tc>
          <w:tcPr>
            <w:tcW w:type="dxa" w:w="1247"/>
          </w:tcPr>
          <w:p>
            <w:r>
              <w:rPr>
                <w:rFonts w:ascii="Aptos" w:hAnsi="Aptos"/>
                <w:sz w:val="20"/>
              </w:rPr>
              <w:t>+1.3</w:t>
            </w:r>
          </w:p>
        </w:tc>
        <w:tc>
          <w:tcPr>
            <w:tcW w:type="dxa" w:w="1247"/>
          </w:tcPr>
          <w:p>
            <w:r>
              <w:rPr>
                <w:rFonts w:ascii="Aptos" w:hAnsi="Aptos"/>
                <w:sz w:val="20"/>
              </w:rPr>
              <w:t>+0.06</w:t>
            </w:r>
          </w:p>
        </w:tc>
        <w:tc>
          <w:tcPr>
            <w:tcW w:type="dxa" w:w="1247"/>
          </w:tcPr>
          <w:p>
            <w:r>
              <w:rPr>
                <w:rFonts w:ascii="Aptos" w:hAnsi="Aptos"/>
                <w:sz w:val="20"/>
              </w:rPr>
              <w:t>+0.02</w:t>
            </w:r>
          </w:p>
        </w:tc>
        <w:tc>
          <w:tcPr>
            <w:tcW w:type="dxa" w:w="1247"/>
          </w:tcPr>
          <w:p>
            <w:r>
              <w:rPr>
                <w:rFonts w:ascii="Aptos" w:hAnsi="Aptos"/>
                <w:sz w:val="20"/>
              </w:rPr>
              <w:t>+0.07</w:t>
            </w:r>
          </w:p>
        </w:tc>
      </w:tr>
      <w:tr>
        <w:tc>
          <w:tcPr>
            <w:tcW w:type="dxa" w:w="2268"/>
          </w:tcPr>
          <w:p>
            <w:r>
              <w:rPr>
                <w:rFonts w:ascii="Aptos" w:hAnsi="Aptos"/>
                <w:sz w:val="20"/>
              </w:rPr>
              <w:t>Materials</w:t>
            </w:r>
          </w:p>
        </w:tc>
        <w:tc>
          <w:tcPr>
            <w:tcW w:type="dxa" w:w="1247"/>
          </w:tcPr>
          <w:p>
            <w:r>
              <w:rPr>
                <w:rFonts w:ascii="Aptos" w:hAnsi="Aptos"/>
                <w:sz w:val="20"/>
              </w:rPr>
              <w:t>3.2</w:t>
            </w:r>
          </w:p>
        </w:tc>
        <w:tc>
          <w:tcPr>
            <w:tcW w:type="dxa" w:w="1417"/>
          </w:tcPr>
          <w:p>
            <w:r>
              <w:rPr>
                <w:rFonts w:ascii="Aptos" w:hAnsi="Aptos"/>
                <w:sz w:val="20"/>
              </w:rPr>
              <w:t>3.4</w:t>
            </w:r>
          </w:p>
        </w:tc>
        <w:tc>
          <w:tcPr>
            <w:tcW w:type="dxa" w:w="1247"/>
          </w:tcPr>
          <w:p>
            <w:r>
              <w:rPr>
                <w:rFonts w:ascii="Aptos" w:hAnsi="Aptos"/>
                <w:sz w:val="20"/>
              </w:rPr>
              <w:t>-0.2</w:t>
            </w:r>
          </w:p>
        </w:tc>
        <w:tc>
          <w:tcPr>
            <w:tcW w:type="dxa" w:w="1247"/>
          </w:tcPr>
          <w:p>
            <w:r>
              <w:rPr>
                <w:rFonts w:ascii="Aptos" w:hAnsi="Aptos"/>
                <w:sz w:val="20"/>
              </w:rPr>
              <w:t>-0.00</w:t>
            </w:r>
          </w:p>
        </w:tc>
        <w:tc>
          <w:tcPr>
            <w:tcW w:type="dxa" w:w="1247"/>
          </w:tcPr>
          <w:p>
            <w:r>
              <w:rPr>
                <w:rFonts w:ascii="Aptos" w:hAnsi="Aptos"/>
                <w:sz w:val="20"/>
              </w:rPr>
              <w:t>+0.05</w:t>
            </w:r>
          </w:p>
        </w:tc>
        <w:tc>
          <w:tcPr>
            <w:tcW w:type="dxa" w:w="1247"/>
          </w:tcPr>
          <w:p>
            <w:r>
              <w:rPr>
                <w:rFonts w:ascii="Aptos" w:hAnsi="Aptos"/>
                <w:sz w:val="20"/>
              </w:rPr>
              <w:t>+0.05</w:t>
            </w:r>
          </w:p>
        </w:tc>
      </w:tr>
      <w:tr>
        <w:tc>
          <w:tcPr>
            <w:tcW w:type="dxa" w:w="2268"/>
          </w:tcPr>
          <w:p>
            <w:r>
              <w:rPr>
                <w:rFonts w:ascii="Aptos" w:hAnsi="Aptos"/>
                <w:sz w:val="20"/>
              </w:rPr>
              <w:t>Cash</w:t>
            </w:r>
          </w:p>
        </w:tc>
        <w:tc>
          <w:tcPr>
            <w:tcW w:type="dxa" w:w="1247"/>
          </w:tcPr>
          <w:p>
            <w:r>
              <w:rPr>
                <w:rFonts w:ascii="Aptos" w:hAnsi="Aptos"/>
                <w:sz w:val="20"/>
              </w:rPr>
              <w:t>0.7</w:t>
            </w:r>
          </w:p>
        </w:tc>
        <w:tc>
          <w:tcPr>
            <w:tcW w:type="dxa" w:w="1417"/>
          </w:tcPr>
          <w:p>
            <w:r>
              <w:rPr>
                <w:rFonts w:ascii="Aptos" w:hAnsi="Aptos"/>
                <w:sz w:val="20"/>
              </w:rPr>
              <w:t>0.0</w:t>
            </w:r>
          </w:p>
        </w:tc>
        <w:tc>
          <w:tcPr>
            <w:tcW w:type="dxa" w:w="1247"/>
          </w:tcPr>
          <w:p>
            <w:r>
              <w:rPr>
                <w:rFonts w:ascii="Aptos" w:hAnsi="Aptos"/>
                <w:sz w:val="20"/>
              </w:rPr>
              <w:t>+0.7</w:t>
            </w:r>
          </w:p>
        </w:tc>
        <w:tc>
          <w:tcPr>
            <w:tcW w:type="dxa" w:w="1247"/>
          </w:tcPr>
          <w:p>
            <w:r>
              <w:rPr>
                <w:rFonts w:ascii="Aptos" w:hAnsi="Aptos"/>
                <w:sz w:val="20"/>
              </w:rPr>
              <w:t>-0.01</w:t>
            </w:r>
          </w:p>
        </w:tc>
        <w:tc>
          <w:tcPr>
            <w:tcW w:type="dxa" w:w="1247"/>
          </w:tcPr>
          <w:p>
            <w:r>
              <w:rPr>
                <w:rFonts w:ascii="Aptos" w:hAnsi="Aptos"/>
                <w:sz w:val="20"/>
              </w:rPr>
              <w:t>+0.00</w:t>
            </w:r>
          </w:p>
        </w:tc>
        <w:tc>
          <w:tcPr>
            <w:tcW w:type="dxa" w:w="1247"/>
          </w:tcPr>
          <w:p>
            <w:r>
              <w:rPr>
                <w:rFonts w:ascii="Aptos" w:hAnsi="Aptos"/>
                <w:sz w:val="20"/>
              </w:rPr>
              <w:t>-0.01</w:t>
            </w:r>
          </w:p>
        </w:tc>
      </w:tr>
      <w:tr>
        <w:tc>
          <w:tcPr>
            <w:tcW w:type="dxa" w:w="2268"/>
          </w:tcPr>
          <w:p>
            <w:r>
              <w:rPr>
                <w:rFonts w:ascii="Aptos" w:hAnsi="Aptos"/>
                <w:sz w:val="20"/>
              </w:rPr>
              <w:t>Consumer Staples</w:t>
            </w:r>
          </w:p>
        </w:tc>
        <w:tc>
          <w:tcPr>
            <w:tcW w:type="dxa" w:w="1247"/>
          </w:tcPr>
          <w:p>
            <w:r>
              <w:rPr>
                <w:rFonts w:ascii="Aptos" w:hAnsi="Aptos"/>
                <w:sz w:val="20"/>
              </w:rPr>
              <w:t>3.7</w:t>
            </w:r>
          </w:p>
        </w:tc>
        <w:tc>
          <w:tcPr>
            <w:tcW w:type="dxa" w:w="1417"/>
          </w:tcPr>
          <w:p>
            <w:r>
              <w:rPr>
                <w:rFonts w:ascii="Aptos" w:hAnsi="Aptos"/>
                <w:sz w:val="20"/>
              </w:rPr>
              <w:t>5.0</w:t>
            </w:r>
          </w:p>
        </w:tc>
        <w:tc>
          <w:tcPr>
            <w:tcW w:type="dxa" w:w="1247"/>
          </w:tcPr>
          <w:p>
            <w:r>
              <w:rPr>
                <w:rFonts w:ascii="Aptos" w:hAnsi="Aptos"/>
                <w:sz w:val="20"/>
              </w:rPr>
              <w:t>-1.3</w:t>
            </w:r>
          </w:p>
        </w:tc>
        <w:tc>
          <w:tcPr>
            <w:tcW w:type="dxa" w:w="1247"/>
          </w:tcPr>
          <w:p>
            <w:r>
              <w:rPr>
                <w:rFonts w:ascii="Aptos" w:hAnsi="Aptos"/>
                <w:sz w:val="20"/>
              </w:rPr>
              <w:t>+0.05</w:t>
            </w:r>
          </w:p>
        </w:tc>
        <w:tc>
          <w:tcPr>
            <w:tcW w:type="dxa" w:w="1247"/>
          </w:tcPr>
          <w:p>
            <w:r>
              <w:rPr>
                <w:rFonts w:ascii="Aptos" w:hAnsi="Aptos"/>
                <w:sz w:val="20"/>
              </w:rPr>
              <w:t>-0.08</w:t>
            </w:r>
          </w:p>
        </w:tc>
        <w:tc>
          <w:tcPr>
            <w:tcW w:type="dxa" w:w="1247"/>
          </w:tcPr>
          <w:p>
            <w:r>
              <w:rPr>
                <w:rFonts w:ascii="Aptos" w:hAnsi="Aptos"/>
                <w:sz w:val="20"/>
              </w:rPr>
              <w:t>-0.04</w:t>
            </w:r>
          </w:p>
        </w:tc>
      </w:tr>
      <w:tr>
        <w:tc>
          <w:tcPr>
            <w:tcW w:type="dxa" w:w="2268"/>
          </w:tcPr>
          <w:p>
            <w:r>
              <w:rPr>
                <w:rFonts w:ascii="Aptos" w:hAnsi="Aptos"/>
                <w:sz w:val="20"/>
              </w:rPr>
              <w:t>Communication Services</w:t>
            </w:r>
          </w:p>
        </w:tc>
        <w:tc>
          <w:tcPr>
            <w:tcW w:type="dxa" w:w="1247"/>
          </w:tcPr>
          <w:p>
            <w:r>
              <w:rPr>
                <w:rFonts w:ascii="Aptos" w:hAnsi="Aptos"/>
                <w:sz w:val="20"/>
              </w:rPr>
              <w:t>4.5</w:t>
            </w:r>
          </w:p>
        </w:tc>
        <w:tc>
          <w:tcPr>
            <w:tcW w:type="dxa" w:w="1417"/>
          </w:tcPr>
          <w:p>
            <w:r>
              <w:rPr>
                <w:rFonts w:ascii="Aptos" w:hAnsi="Aptos"/>
                <w:sz w:val="20"/>
              </w:rPr>
              <w:t>8.0</w:t>
            </w:r>
          </w:p>
        </w:tc>
        <w:tc>
          <w:tcPr>
            <w:tcW w:type="dxa" w:w="1247"/>
          </w:tcPr>
          <w:p>
            <w:r>
              <w:rPr>
                <w:rFonts w:ascii="Aptos" w:hAnsi="Aptos"/>
                <w:sz w:val="20"/>
              </w:rPr>
              <w:t>-3.5</w:t>
            </w:r>
          </w:p>
        </w:tc>
        <w:tc>
          <w:tcPr>
            <w:tcW w:type="dxa" w:w="1247"/>
          </w:tcPr>
          <w:p>
            <w:r>
              <w:rPr>
                <w:rFonts w:ascii="Aptos" w:hAnsi="Aptos"/>
                <w:sz w:val="20"/>
              </w:rPr>
              <w:t>+0.08</w:t>
            </w:r>
          </w:p>
        </w:tc>
        <w:tc>
          <w:tcPr>
            <w:tcW w:type="dxa" w:w="1247"/>
          </w:tcPr>
          <w:p>
            <w:r>
              <w:rPr>
                <w:rFonts w:ascii="Aptos" w:hAnsi="Aptos"/>
                <w:sz w:val="20"/>
              </w:rPr>
              <w:t>-0.12</w:t>
            </w:r>
          </w:p>
        </w:tc>
        <w:tc>
          <w:tcPr>
            <w:tcW w:type="dxa" w:w="1247"/>
          </w:tcPr>
          <w:p>
            <w:r>
              <w:rPr>
                <w:rFonts w:ascii="Aptos" w:hAnsi="Aptos"/>
                <w:sz w:val="20"/>
              </w:rPr>
              <w:t>-0.04</w:t>
            </w:r>
          </w:p>
        </w:tc>
      </w:tr>
      <w:tr>
        <w:tc>
          <w:tcPr>
            <w:tcW w:type="dxa" w:w="2268"/>
          </w:tcPr>
          <w:p>
            <w:r>
              <w:rPr>
                <w:rFonts w:ascii="Aptos" w:hAnsi="Aptos"/>
                <w:sz w:val="20"/>
              </w:rPr>
              <w:t>Energy</w:t>
            </w:r>
          </w:p>
        </w:tc>
        <w:tc>
          <w:tcPr>
            <w:tcW w:type="dxa" w:w="1247"/>
          </w:tcPr>
          <w:p>
            <w:r>
              <w:rPr>
                <w:rFonts w:ascii="Aptos" w:hAnsi="Aptos"/>
                <w:sz w:val="20"/>
              </w:rPr>
              <w:t>5.2</w:t>
            </w:r>
          </w:p>
        </w:tc>
        <w:tc>
          <w:tcPr>
            <w:tcW w:type="dxa" w:w="1417"/>
          </w:tcPr>
          <w:p>
            <w:r>
              <w:rPr>
                <w:rFonts w:ascii="Aptos" w:hAnsi="Aptos"/>
                <w:sz w:val="20"/>
              </w:rPr>
              <w:t>4.0</w:t>
            </w:r>
          </w:p>
        </w:tc>
        <w:tc>
          <w:tcPr>
            <w:tcW w:type="dxa" w:w="1247"/>
          </w:tcPr>
          <w:p>
            <w:r>
              <w:rPr>
                <w:rFonts w:ascii="Aptos" w:hAnsi="Aptos"/>
                <w:sz w:val="20"/>
              </w:rPr>
              <w:t>+1.2</w:t>
            </w:r>
          </w:p>
        </w:tc>
        <w:tc>
          <w:tcPr>
            <w:tcW w:type="dxa" w:w="1247"/>
          </w:tcPr>
          <w:p>
            <w:r>
              <w:rPr>
                <w:rFonts w:ascii="Aptos" w:hAnsi="Aptos"/>
                <w:sz w:val="20"/>
              </w:rPr>
              <w:t>+0.02</w:t>
            </w:r>
          </w:p>
        </w:tc>
        <w:tc>
          <w:tcPr>
            <w:tcW w:type="dxa" w:w="1247"/>
          </w:tcPr>
          <w:p>
            <w:r>
              <w:rPr>
                <w:rFonts w:ascii="Aptos" w:hAnsi="Aptos"/>
                <w:sz w:val="20"/>
              </w:rPr>
              <w:t>-0.11</w:t>
            </w:r>
          </w:p>
        </w:tc>
        <w:tc>
          <w:tcPr>
            <w:tcW w:type="dxa" w:w="1247"/>
          </w:tcPr>
          <w:p>
            <w:r>
              <w:rPr>
                <w:rFonts w:ascii="Aptos" w:hAnsi="Aptos"/>
                <w:sz w:val="20"/>
              </w:rPr>
              <w:t>-0.09</w:t>
            </w:r>
          </w:p>
        </w:tc>
      </w:tr>
      <w:tr>
        <w:tc>
          <w:tcPr>
            <w:tcW w:type="dxa" w:w="2268"/>
          </w:tcPr>
          <w:p>
            <w:r>
              <w:rPr>
                <w:rFonts w:ascii="Aptos" w:hAnsi="Aptos"/>
                <w:sz w:val="20"/>
              </w:rPr>
              <w:t>Consumer Discretionary</w:t>
            </w:r>
          </w:p>
        </w:tc>
        <w:tc>
          <w:tcPr>
            <w:tcW w:type="dxa" w:w="1247"/>
          </w:tcPr>
          <w:p>
            <w:r>
              <w:rPr>
                <w:rFonts w:ascii="Aptos" w:hAnsi="Aptos"/>
                <w:sz w:val="20"/>
              </w:rPr>
              <w:t>7.1</w:t>
            </w:r>
          </w:p>
        </w:tc>
        <w:tc>
          <w:tcPr>
            <w:tcW w:type="dxa" w:w="1417"/>
          </w:tcPr>
          <w:p>
            <w:r>
              <w:rPr>
                <w:rFonts w:ascii="Aptos" w:hAnsi="Aptos"/>
                <w:sz w:val="20"/>
              </w:rPr>
              <w:t>8.9</w:t>
            </w:r>
          </w:p>
        </w:tc>
        <w:tc>
          <w:tcPr>
            <w:tcW w:type="dxa" w:w="1247"/>
          </w:tcPr>
          <w:p>
            <w:r>
              <w:rPr>
                <w:rFonts w:ascii="Aptos" w:hAnsi="Aptos"/>
                <w:sz w:val="20"/>
              </w:rPr>
              <w:t>-1.8</w:t>
            </w:r>
          </w:p>
        </w:tc>
        <w:tc>
          <w:tcPr>
            <w:tcW w:type="dxa" w:w="1247"/>
          </w:tcPr>
          <w:p>
            <w:r>
              <w:rPr>
                <w:rFonts w:ascii="Aptos" w:hAnsi="Aptos"/>
                <w:sz w:val="20"/>
              </w:rPr>
              <w:t>+0.05</w:t>
            </w:r>
          </w:p>
        </w:tc>
        <w:tc>
          <w:tcPr>
            <w:tcW w:type="dxa" w:w="1247"/>
          </w:tcPr>
          <w:p>
            <w:r>
              <w:rPr>
                <w:rFonts w:ascii="Aptos" w:hAnsi="Aptos"/>
                <w:sz w:val="20"/>
              </w:rPr>
              <w:t>-0.33</w:t>
            </w:r>
          </w:p>
        </w:tc>
        <w:tc>
          <w:tcPr>
            <w:tcW w:type="dxa" w:w="1247"/>
          </w:tcPr>
          <w:p>
            <w:r>
              <w:rPr>
                <w:rFonts w:ascii="Aptos" w:hAnsi="Aptos"/>
                <w:sz w:val="20"/>
              </w:rPr>
              <w:t>-0.28</w:t>
            </w:r>
          </w:p>
        </w:tc>
      </w:tr>
      <w:tr>
        <w:tc>
          <w:tcPr>
            <w:tcW w:type="dxa" w:w="2268"/>
          </w:tcPr>
          <w:p>
            <w:r>
              <w:rPr>
                <w:rFonts w:ascii="Aptos" w:hAnsi="Aptos"/>
                <w:sz w:val="20"/>
              </w:rPr>
              <w:t>Industrials</w:t>
            </w:r>
          </w:p>
        </w:tc>
        <w:tc>
          <w:tcPr>
            <w:tcW w:type="dxa" w:w="1247"/>
          </w:tcPr>
          <w:p>
            <w:r>
              <w:rPr>
                <w:rFonts w:ascii="Aptos" w:hAnsi="Aptos"/>
                <w:sz w:val="20"/>
              </w:rPr>
              <w:t>16.0</w:t>
            </w:r>
          </w:p>
        </w:tc>
        <w:tc>
          <w:tcPr>
            <w:tcW w:type="dxa" w:w="1417"/>
          </w:tcPr>
          <w:p>
            <w:r>
              <w:rPr>
                <w:rFonts w:ascii="Aptos" w:hAnsi="Aptos"/>
                <w:sz w:val="20"/>
              </w:rPr>
              <w:t>11.4</w:t>
            </w:r>
          </w:p>
        </w:tc>
        <w:tc>
          <w:tcPr>
            <w:tcW w:type="dxa" w:w="1247"/>
          </w:tcPr>
          <w:p>
            <w:r>
              <w:rPr>
                <w:rFonts w:ascii="Aptos" w:hAnsi="Aptos"/>
                <w:sz w:val="20"/>
              </w:rPr>
              <w:t>+4.5</w:t>
            </w:r>
          </w:p>
        </w:tc>
        <w:tc>
          <w:tcPr>
            <w:tcW w:type="dxa" w:w="1247"/>
          </w:tcPr>
          <w:p>
            <w:r>
              <w:rPr>
                <w:rFonts w:ascii="Aptos" w:hAnsi="Aptos"/>
                <w:sz w:val="20"/>
              </w:rPr>
              <w:t>-0.15</w:t>
            </w:r>
          </w:p>
        </w:tc>
        <w:tc>
          <w:tcPr>
            <w:tcW w:type="dxa" w:w="1247"/>
          </w:tcPr>
          <w:p>
            <w:r>
              <w:rPr>
                <w:rFonts w:ascii="Aptos" w:hAnsi="Aptos"/>
                <w:sz w:val="20"/>
              </w:rPr>
              <w:t>-0.44</w:t>
            </w:r>
          </w:p>
        </w:tc>
        <w:tc>
          <w:tcPr>
            <w:tcW w:type="dxa" w:w="1247"/>
          </w:tcPr>
          <w:p>
            <w:r>
              <w:rPr>
                <w:rFonts w:ascii="Aptos" w:hAnsi="Aptos"/>
                <w:sz w:val="20"/>
              </w:rPr>
              <w:t>-0.58</w:t>
            </w:r>
          </w:p>
        </w:tc>
      </w:tr>
      <w:tr>
        <w:tc>
          <w:tcPr>
            <w:tcW w:type="dxa" w:w="2268"/>
          </w:tcPr>
          <w:p>
            <w:r>
              <w:rPr>
                <w:rFonts w:ascii="Aptos" w:hAnsi="Aptos"/>
                <w:sz w:val="20"/>
              </w:rPr>
              <w:t>Information Technology</w:t>
            </w:r>
          </w:p>
        </w:tc>
        <w:tc>
          <w:tcPr>
            <w:tcW w:type="dxa" w:w="1247"/>
          </w:tcPr>
          <w:p>
            <w:r>
              <w:rPr>
                <w:rFonts w:ascii="Aptos" w:hAnsi="Aptos"/>
                <w:sz w:val="20"/>
              </w:rPr>
              <w:t>24.4</w:t>
            </w:r>
          </w:p>
        </w:tc>
        <w:tc>
          <w:tcPr>
            <w:tcW w:type="dxa" w:w="1417"/>
          </w:tcPr>
          <w:p>
            <w:r>
              <w:rPr>
                <w:rFonts w:ascii="Aptos" w:hAnsi="Aptos"/>
                <w:sz w:val="20"/>
              </w:rPr>
              <w:t>29.5</w:t>
            </w:r>
          </w:p>
        </w:tc>
        <w:tc>
          <w:tcPr>
            <w:tcW w:type="dxa" w:w="1247"/>
          </w:tcPr>
          <w:p>
            <w:r>
              <w:rPr>
                <w:rFonts w:ascii="Aptos" w:hAnsi="Aptos"/>
                <w:sz w:val="20"/>
              </w:rPr>
              <w:t>-5.1</w:t>
            </w:r>
          </w:p>
        </w:tc>
        <w:tc>
          <w:tcPr>
            <w:tcW w:type="dxa" w:w="1247"/>
          </w:tcPr>
          <w:p>
            <w:r>
              <w:rPr>
                <w:rFonts w:ascii="Aptos" w:hAnsi="Aptos"/>
                <w:sz w:val="20"/>
              </w:rPr>
              <w:t>-0.18</w:t>
            </w:r>
          </w:p>
        </w:tc>
        <w:tc>
          <w:tcPr>
            <w:tcW w:type="dxa" w:w="1247"/>
          </w:tcPr>
          <w:p>
            <w:r>
              <w:rPr>
                <w:rFonts w:ascii="Aptos" w:hAnsi="Aptos"/>
                <w:sz w:val="20"/>
              </w:rPr>
              <w:t>-0.65</w:t>
            </w:r>
          </w:p>
        </w:tc>
        <w:tc>
          <w:tcPr>
            <w:tcW w:type="dxa" w:w="1247"/>
          </w:tcPr>
          <w:p>
            <w:r>
              <w:rPr>
                <w:rFonts w:ascii="Aptos" w:hAnsi="Aptos"/>
                <w:sz w:val="20"/>
              </w:rPr>
              <w:t>-0.83</w:t>
            </w:r>
          </w:p>
        </w:tc>
      </w:tr>
    </w:tbl>
    <w:p/>
    <w:p>
      <w:pPr>
        <w:pStyle w:val="Heading1"/>
      </w:pPr>
      <w:r>
        <w:rPr>
          <w:rFonts w:ascii="Aptos" w:hAnsi="Aptos"/>
          <w:color w:val="1A2E3B"/>
        </w:rPr>
        <w:t>Country</w:t>
      </w:r>
    </w:p>
    <w:tbl>
      <w:tblGrid>
        <w:gridCol w:w="2268"/>
        <w:gridCol w:w="1247"/>
        <w:gridCol w:w="1417"/>
        <w:gridCol w:w="1247"/>
        <w:gridCol w:w="1247"/>
        <w:gridCol w:w="1247"/>
        <w:gridCol w:w="1247"/>
      </w:tblGrid>
      <w:tblPr>
        <w:tblW w:type="auto" w:w="0"/>
        <w:jc w:val="left"/>
        <w:tblLayout w:type="fixed"/>
        <w:tblLook w:firstColumn="1" w:firstRow="1" w:lastColumn="0" w:lastRow="0" w:noHBand="0" w:noVBand="1" w:val="04A0"/>
      </w:tblPr>
      <w:tr>
        <w:tc>
          <w:tcPr>
            <w:tcW w:type="dxa" w:w="2268"/>
            <w:shd w:val="clear" w:color="auto" w:fill="E8EEEC"/>
          </w:tcPr>
          <w:p>
            <w:pPr>
              <w:jc w:val="left"/>
            </w:pPr>
            <w:r>
              <w:rPr>
                <w:rFonts w:ascii="Aptos" w:hAnsi="Aptos"/>
                <w:b/>
                <w:color w:val="1A2E3B"/>
                <w:sz w:val="20"/>
              </w:rPr>
            </w:r>
          </w:p>
        </w:tc>
        <w:tc>
          <w:tcPr>
            <w:tcW w:type="dxa" w:w="1247"/>
            <w:shd w:val="clear" w:color="auto" w:fill="E8EEEC"/>
          </w:tcPr>
          <w:p>
            <w:pPr>
              <w:jc w:val="left"/>
            </w:pPr>
            <w:r>
              <w:rPr>
                <w:rFonts w:ascii="Aptos" w:hAnsi="Aptos"/>
                <w:b/>
                <w:color w:val="1A2E3B"/>
                <w:sz w:val="20"/>
              </w:rPr>
              <w:t>Fund (%)</w:t>
            </w:r>
          </w:p>
        </w:tc>
        <w:tc>
          <w:tcPr>
            <w:tcW w:type="dxa" w:w="1417"/>
            <w:shd w:val="clear" w:color="auto" w:fill="E8EEEC"/>
          </w:tcPr>
          <w:p>
            <w:pPr>
              <w:jc w:val="left"/>
            </w:pPr>
            <w:r>
              <w:rPr>
                <w:rFonts w:ascii="Aptos" w:hAnsi="Aptos"/>
                <w:b/>
                <w:color w:val="1A2E3B"/>
                <w:sz w:val="20"/>
              </w:rPr>
              <w:t>Benchmark (%)</w:t>
            </w:r>
          </w:p>
        </w:tc>
        <w:tc>
          <w:tcPr>
            <w:tcW w:type="dxa" w:w="1247"/>
            <w:shd w:val="clear" w:color="auto" w:fill="E8EEEC"/>
          </w:tcPr>
          <w:p>
            <w:pPr>
              <w:jc w:val="left"/>
            </w:pPr>
            <w:r>
              <w:rPr>
                <w:rFonts w:ascii="Aptos" w:hAnsi="Aptos"/>
                <w:b/>
                <w:color w:val="1A2E3B"/>
                <w:sz w:val="20"/>
              </w:rPr>
              <w:t>Active (%)</w:t>
            </w:r>
          </w:p>
        </w:tc>
        <w:tc>
          <w:tcPr>
            <w:tcW w:type="dxa" w:w="1247"/>
            <w:shd w:val="clear" w:color="auto" w:fill="E8EEEC"/>
          </w:tcPr>
          <w:p>
            <w:pPr>
              <w:jc w:val="left"/>
            </w:pPr>
            <w:r>
              <w:rPr>
                <w:rFonts w:ascii="Aptos" w:hAnsi="Aptos"/>
                <w:b/>
                <w:color w:val="1A2E3B"/>
                <w:sz w:val="20"/>
              </w:rPr>
              <w:t>Alloc. (%)</w:t>
            </w:r>
          </w:p>
        </w:tc>
        <w:tc>
          <w:tcPr>
            <w:tcW w:type="dxa" w:w="1247"/>
            <w:shd w:val="clear" w:color="auto" w:fill="E8EEEC"/>
          </w:tcPr>
          <w:p>
            <w:pPr>
              <w:jc w:val="left"/>
            </w:pPr>
            <w:r>
              <w:rPr>
                <w:rFonts w:ascii="Aptos" w:hAnsi="Aptos"/>
                <w:b/>
                <w:color w:val="1A2E3B"/>
                <w:sz w:val="20"/>
              </w:rPr>
              <w:t>Select. (%)</w:t>
            </w:r>
          </w:p>
        </w:tc>
        <w:tc>
          <w:tcPr>
            <w:tcW w:type="dxa" w:w="1247"/>
            <w:shd w:val="clear" w:color="auto" w:fill="E8EEEC"/>
          </w:tcPr>
          <w:p>
            <w:pPr>
              <w:jc w:val="left"/>
            </w:pPr>
            <w:r>
              <w:rPr>
                <w:rFonts w:ascii="Aptos" w:hAnsi="Aptos"/>
                <w:b/>
                <w:color w:val="1A2E3B"/>
                <w:sz w:val="20"/>
              </w:rPr>
              <w:t>Total (%)</w:t>
            </w:r>
          </w:p>
        </w:tc>
      </w:tr>
      <w:tr>
        <w:tc>
          <w:tcPr>
            <w:tcW w:type="dxa" w:w="2268"/>
          </w:tcPr>
          <w:p>
            <w:r>
              <w:rPr>
                <w:rFonts w:ascii="Aptos" w:hAnsi="Aptos"/>
                <w:sz w:val="20"/>
              </w:rPr>
              <w:t>United States</w:t>
            </w:r>
          </w:p>
        </w:tc>
        <w:tc>
          <w:tcPr>
            <w:tcW w:type="dxa" w:w="1247"/>
          </w:tcPr>
          <w:p>
            <w:r>
              <w:rPr>
                <w:rFonts w:ascii="Aptos" w:hAnsi="Aptos"/>
                <w:sz w:val="20"/>
              </w:rPr>
              <w:t>61.6</w:t>
            </w:r>
          </w:p>
        </w:tc>
        <w:tc>
          <w:tcPr>
            <w:tcW w:type="dxa" w:w="1417"/>
          </w:tcPr>
          <w:p>
            <w:r>
              <w:rPr>
                <w:rFonts w:ascii="Aptos" w:hAnsi="Aptos"/>
                <w:sz w:val="20"/>
              </w:rPr>
              <w:t>72.0</w:t>
            </w:r>
          </w:p>
        </w:tc>
        <w:tc>
          <w:tcPr>
            <w:tcW w:type="dxa" w:w="1247"/>
          </w:tcPr>
          <w:p>
            <w:r>
              <w:rPr>
                <w:rFonts w:ascii="Aptos" w:hAnsi="Aptos"/>
                <w:sz w:val="20"/>
              </w:rPr>
              <w:t>-10.3</w:t>
            </w:r>
          </w:p>
        </w:tc>
        <w:tc>
          <w:tcPr>
            <w:tcW w:type="dxa" w:w="1247"/>
          </w:tcPr>
          <w:p>
            <w:r>
              <w:rPr>
                <w:rFonts w:ascii="Aptos" w:hAnsi="Aptos"/>
                <w:sz w:val="20"/>
              </w:rPr>
              <w:t>-0.02</w:t>
            </w:r>
          </w:p>
        </w:tc>
        <w:tc>
          <w:tcPr>
            <w:tcW w:type="dxa" w:w="1247"/>
          </w:tcPr>
          <w:p>
            <w:r>
              <w:rPr>
                <w:rFonts w:ascii="Aptos" w:hAnsi="Aptos"/>
                <w:sz w:val="20"/>
              </w:rPr>
              <w:t>-1.12</w:t>
            </w:r>
          </w:p>
        </w:tc>
        <w:tc>
          <w:tcPr>
            <w:tcW w:type="dxa" w:w="1247"/>
          </w:tcPr>
          <w:p>
            <w:r>
              <w:rPr>
                <w:rFonts w:ascii="Aptos" w:hAnsi="Aptos"/>
                <w:sz w:val="20"/>
              </w:rPr>
              <w:t>-1.14</w:t>
            </w:r>
          </w:p>
        </w:tc>
      </w:tr>
      <w:tr>
        <w:tc>
          <w:tcPr>
            <w:tcW w:type="dxa" w:w="2268"/>
          </w:tcPr>
          <w:p>
            <w:r>
              <w:rPr>
                <w:rFonts w:ascii="Aptos" w:hAnsi="Aptos"/>
                <w:sz w:val="20"/>
              </w:rPr>
              <w:t>Japan</w:t>
            </w:r>
          </w:p>
        </w:tc>
        <w:tc>
          <w:tcPr>
            <w:tcW w:type="dxa" w:w="1247"/>
          </w:tcPr>
          <w:p>
            <w:r>
              <w:rPr>
                <w:rFonts w:ascii="Aptos" w:hAnsi="Aptos"/>
                <w:sz w:val="20"/>
              </w:rPr>
              <w:t>8.7</w:t>
            </w:r>
          </w:p>
        </w:tc>
        <w:tc>
          <w:tcPr>
            <w:tcW w:type="dxa" w:w="1417"/>
          </w:tcPr>
          <w:p>
            <w:r>
              <w:rPr>
                <w:rFonts w:ascii="Aptos" w:hAnsi="Aptos"/>
                <w:sz w:val="20"/>
              </w:rPr>
              <w:t>5.7</w:t>
            </w:r>
          </w:p>
        </w:tc>
        <w:tc>
          <w:tcPr>
            <w:tcW w:type="dxa" w:w="1247"/>
          </w:tcPr>
          <w:p>
            <w:r>
              <w:rPr>
                <w:rFonts w:ascii="Aptos" w:hAnsi="Aptos"/>
                <w:sz w:val="20"/>
              </w:rPr>
              <w:t>+3.0</w:t>
            </w:r>
          </w:p>
        </w:tc>
        <w:tc>
          <w:tcPr>
            <w:tcW w:type="dxa" w:w="1247"/>
          </w:tcPr>
          <w:p>
            <w:r>
              <w:rPr>
                <w:rFonts w:ascii="Aptos" w:hAnsi="Aptos"/>
                <w:sz w:val="20"/>
              </w:rPr>
              <w:t>+0.02</w:t>
            </w:r>
          </w:p>
        </w:tc>
        <w:tc>
          <w:tcPr>
            <w:tcW w:type="dxa" w:w="1247"/>
          </w:tcPr>
          <w:p>
            <w:r>
              <w:rPr>
                <w:rFonts w:ascii="Aptos" w:hAnsi="Aptos"/>
                <w:sz w:val="20"/>
              </w:rPr>
              <w:t>-0.58</w:t>
            </w:r>
          </w:p>
        </w:tc>
        <w:tc>
          <w:tcPr>
            <w:tcW w:type="dxa" w:w="1247"/>
          </w:tcPr>
          <w:p>
            <w:r>
              <w:rPr>
                <w:rFonts w:ascii="Aptos" w:hAnsi="Aptos"/>
                <w:sz w:val="20"/>
              </w:rPr>
              <w:t>-0.56</w:t>
            </w:r>
          </w:p>
        </w:tc>
      </w:tr>
      <w:tr>
        <w:tc>
          <w:tcPr>
            <w:tcW w:type="dxa" w:w="2268"/>
          </w:tcPr>
          <w:p>
            <w:r>
              <w:rPr>
                <w:rFonts w:ascii="Aptos" w:hAnsi="Aptos"/>
                <w:sz w:val="20"/>
              </w:rPr>
              <w:t>Australia</w:t>
            </w:r>
          </w:p>
        </w:tc>
        <w:tc>
          <w:tcPr>
            <w:tcW w:type="dxa" w:w="1247"/>
          </w:tcPr>
          <w:p>
            <w:r>
              <w:rPr>
                <w:rFonts w:ascii="Aptos" w:hAnsi="Aptos"/>
                <w:sz w:val="20"/>
              </w:rPr>
              <w:t>3.2</w:t>
            </w:r>
          </w:p>
        </w:tc>
        <w:tc>
          <w:tcPr>
            <w:tcW w:type="dxa" w:w="1417"/>
          </w:tcPr>
          <w:p>
            <w:r>
              <w:rPr>
                <w:rFonts w:ascii="Aptos" w:hAnsi="Aptos"/>
                <w:sz w:val="20"/>
              </w:rPr>
              <w:t>1.6</w:t>
            </w:r>
          </w:p>
        </w:tc>
        <w:tc>
          <w:tcPr>
            <w:tcW w:type="dxa" w:w="1247"/>
          </w:tcPr>
          <w:p>
            <w:r>
              <w:rPr>
                <w:rFonts w:ascii="Aptos" w:hAnsi="Aptos"/>
                <w:sz w:val="20"/>
              </w:rPr>
              <w:t>+1.5</w:t>
            </w:r>
          </w:p>
        </w:tc>
        <w:tc>
          <w:tcPr>
            <w:tcW w:type="dxa" w:w="1247"/>
          </w:tcPr>
          <w:p>
            <w:r>
              <w:rPr>
                <w:rFonts w:ascii="Aptos" w:hAnsi="Aptos"/>
                <w:sz w:val="20"/>
              </w:rPr>
              <w:t>+0.02</w:t>
            </w:r>
          </w:p>
        </w:tc>
        <w:tc>
          <w:tcPr>
            <w:tcW w:type="dxa" w:w="1247"/>
          </w:tcPr>
          <w:p>
            <w:r>
              <w:rPr>
                <w:rFonts w:ascii="Aptos" w:hAnsi="Aptos"/>
                <w:sz w:val="20"/>
              </w:rPr>
              <w:t>+0.25</w:t>
            </w:r>
          </w:p>
        </w:tc>
        <w:tc>
          <w:tcPr>
            <w:tcW w:type="dxa" w:w="1247"/>
          </w:tcPr>
          <w:p>
            <w:r>
              <w:rPr>
                <w:rFonts w:ascii="Aptos" w:hAnsi="Aptos"/>
                <w:sz w:val="20"/>
              </w:rPr>
              <w:t>+0.26</w:t>
            </w:r>
          </w:p>
        </w:tc>
      </w:tr>
      <w:tr>
        <w:tc>
          <w:tcPr>
            <w:tcW w:type="dxa" w:w="2268"/>
          </w:tcPr>
          <w:p>
            <w:r>
              <w:rPr>
                <w:rFonts w:ascii="Aptos" w:hAnsi="Aptos"/>
                <w:sz w:val="20"/>
              </w:rPr>
              <w:t>Germany</w:t>
            </w:r>
          </w:p>
        </w:tc>
        <w:tc>
          <w:tcPr>
            <w:tcW w:type="dxa" w:w="1247"/>
          </w:tcPr>
          <w:p>
            <w:r>
              <w:rPr>
                <w:rFonts w:ascii="Aptos" w:hAnsi="Aptos"/>
                <w:sz w:val="20"/>
              </w:rPr>
              <w:t>3.8</w:t>
            </w:r>
          </w:p>
        </w:tc>
        <w:tc>
          <w:tcPr>
            <w:tcW w:type="dxa" w:w="1417"/>
          </w:tcPr>
          <w:p>
            <w:r>
              <w:rPr>
                <w:rFonts w:ascii="Aptos" w:hAnsi="Aptos"/>
                <w:sz w:val="20"/>
              </w:rPr>
              <w:t>2.2</w:t>
            </w:r>
          </w:p>
        </w:tc>
        <w:tc>
          <w:tcPr>
            <w:tcW w:type="dxa" w:w="1247"/>
          </w:tcPr>
          <w:p>
            <w:r>
              <w:rPr>
                <w:rFonts w:ascii="Aptos" w:hAnsi="Aptos"/>
                <w:sz w:val="20"/>
              </w:rPr>
              <w:t>+1.6</w:t>
            </w:r>
          </w:p>
        </w:tc>
        <w:tc>
          <w:tcPr>
            <w:tcW w:type="dxa" w:w="1247"/>
          </w:tcPr>
          <w:p>
            <w:r>
              <w:rPr>
                <w:rFonts w:ascii="Aptos" w:hAnsi="Aptos"/>
                <w:sz w:val="20"/>
              </w:rPr>
              <w:t>+0.02</w:t>
            </w:r>
          </w:p>
        </w:tc>
        <w:tc>
          <w:tcPr>
            <w:tcW w:type="dxa" w:w="1247"/>
          </w:tcPr>
          <w:p>
            <w:r>
              <w:rPr>
                <w:rFonts w:ascii="Aptos" w:hAnsi="Aptos"/>
                <w:sz w:val="20"/>
              </w:rPr>
              <w:t>+0.11</w:t>
            </w:r>
          </w:p>
        </w:tc>
        <w:tc>
          <w:tcPr>
            <w:tcW w:type="dxa" w:w="1247"/>
          </w:tcPr>
          <w:p>
            <w:r>
              <w:rPr>
                <w:rFonts w:ascii="Aptos" w:hAnsi="Aptos"/>
                <w:sz w:val="20"/>
              </w:rPr>
              <w:t>+0.13</w:t>
            </w:r>
          </w:p>
        </w:tc>
      </w:tr>
      <w:tr>
        <w:tc>
          <w:tcPr>
            <w:tcW w:type="dxa" w:w="2268"/>
          </w:tcPr>
          <w:p>
            <w:r>
              <w:rPr>
                <w:rFonts w:ascii="Aptos" w:hAnsi="Aptos"/>
                <w:sz w:val="20"/>
              </w:rPr>
              <w:t>Canada</w:t>
            </w:r>
          </w:p>
        </w:tc>
        <w:tc>
          <w:tcPr>
            <w:tcW w:type="dxa" w:w="1247"/>
          </w:tcPr>
          <w:p>
            <w:r>
              <w:rPr>
                <w:rFonts w:ascii="Aptos" w:hAnsi="Aptos"/>
                <w:sz w:val="20"/>
              </w:rPr>
              <w:t>3.2</w:t>
            </w:r>
          </w:p>
        </w:tc>
        <w:tc>
          <w:tcPr>
            <w:tcW w:type="dxa" w:w="1417"/>
          </w:tcPr>
          <w:p>
            <w:r>
              <w:rPr>
                <w:rFonts w:ascii="Aptos" w:hAnsi="Aptos"/>
                <w:sz w:val="20"/>
              </w:rPr>
              <w:t>3.5</w:t>
            </w:r>
          </w:p>
        </w:tc>
        <w:tc>
          <w:tcPr>
            <w:tcW w:type="dxa" w:w="1247"/>
          </w:tcPr>
          <w:p>
            <w:r>
              <w:rPr>
                <w:rFonts w:ascii="Aptos" w:hAnsi="Aptos"/>
                <w:sz w:val="20"/>
              </w:rPr>
              <w:t>-0.3</w:t>
            </w:r>
          </w:p>
        </w:tc>
        <w:tc>
          <w:tcPr>
            <w:tcW w:type="dxa" w:w="1247"/>
          </w:tcPr>
          <w:p>
            <w:r>
              <w:rPr>
                <w:rFonts w:ascii="Aptos" w:hAnsi="Aptos"/>
                <w:sz w:val="20"/>
              </w:rPr>
              <w:t>+0.02</w:t>
            </w:r>
          </w:p>
        </w:tc>
        <w:tc>
          <w:tcPr>
            <w:tcW w:type="dxa" w:w="1247"/>
          </w:tcPr>
          <w:p>
            <w:r>
              <w:rPr>
                <w:rFonts w:ascii="Aptos" w:hAnsi="Aptos"/>
                <w:sz w:val="20"/>
              </w:rPr>
              <w:t>-0.11</w:t>
            </w:r>
          </w:p>
        </w:tc>
        <w:tc>
          <w:tcPr>
            <w:tcW w:type="dxa" w:w="1247"/>
          </w:tcPr>
          <w:p>
            <w:r>
              <w:rPr>
                <w:rFonts w:ascii="Aptos" w:hAnsi="Aptos"/>
                <w:sz w:val="20"/>
              </w:rPr>
              <w:t>-0.09</w:t>
            </w:r>
          </w:p>
        </w:tc>
      </w:tr>
      <w:tr>
        <w:tc>
          <w:tcPr>
            <w:tcW w:type="dxa" w:w="2268"/>
          </w:tcPr>
          <w:p>
            <w:r>
              <w:rPr>
                <w:rFonts w:ascii="Aptos" w:hAnsi="Aptos"/>
                <w:sz w:val="20"/>
              </w:rPr>
              <w:t>France</w:t>
            </w:r>
          </w:p>
        </w:tc>
        <w:tc>
          <w:tcPr>
            <w:tcW w:type="dxa" w:w="1247"/>
          </w:tcPr>
          <w:p>
            <w:r>
              <w:rPr>
                <w:rFonts w:ascii="Aptos" w:hAnsi="Aptos"/>
                <w:sz w:val="20"/>
              </w:rPr>
              <w:t>10.2</w:t>
            </w:r>
          </w:p>
        </w:tc>
        <w:tc>
          <w:tcPr>
            <w:tcW w:type="dxa" w:w="1417"/>
          </w:tcPr>
          <w:p>
            <w:r>
              <w:rPr>
                <w:rFonts w:ascii="Aptos" w:hAnsi="Aptos"/>
                <w:sz w:val="20"/>
              </w:rPr>
              <w:t>2.4</w:t>
            </w:r>
          </w:p>
        </w:tc>
        <w:tc>
          <w:tcPr>
            <w:tcW w:type="dxa" w:w="1247"/>
          </w:tcPr>
          <w:p>
            <w:r>
              <w:rPr>
                <w:rFonts w:ascii="Aptos" w:hAnsi="Aptos"/>
                <w:sz w:val="20"/>
              </w:rPr>
              <w:t>+7.8</w:t>
            </w:r>
          </w:p>
        </w:tc>
        <w:tc>
          <w:tcPr>
            <w:tcW w:type="dxa" w:w="1247"/>
          </w:tcPr>
          <w:p>
            <w:r>
              <w:rPr>
                <w:rFonts w:ascii="Aptos" w:hAnsi="Aptos"/>
                <w:sz w:val="20"/>
              </w:rPr>
              <w:t>-0.29</w:t>
            </w:r>
          </w:p>
        </w:tc>
        <w:tc>
          <w:tcPr>
            <w:tcW w:type="dxa" w:w="1247"/>
          </w:tcPr>
          <w:p>
            <w:r>
              <w:rPr>
                <w:rFonts w:ascii="Aptos" w:hAnsi="Aptos"/>
                <w:sz w:val="20"/>
              </w:rPr>
              <w:t>+0.19</w:t>
            </w:r>
          </w:p>
        </w:tc>
        <w:tc>
          <w:tcPr>
            <w:tcW w:type="dxa" w:w="1247"/>
          </w:tcPr>
          <w:p>
            <w:r>
              <w:rPr>
                <w:rFonts w:ascii="Aptos" w:hAnsi="Aptos"/>
                <w:sz w:val="20"/>
              </w:rPr>
              <w:t>-0.09</w:t>
            </w:r>
          </w:p>
        </w:tc>
      </w:tr>
      <w:tr>
        <w:tc>
          <w:tcPr>
            <w:tcW w:type="dxa" w:w="2268"/>
          </w:tcPr>
          <w:p>
            <w:r>
              <w:rPr>
                <w:rFonts w:ascii="Aptos" w:hAnsi="Aptos"/>
                <w:sz w:val="20"/>
              </w:rPr>
              <w:t>United Kingdom</w:t>
            </w:r>
          </w:p>
        </w:tc>
        <w:tc>
          <w:tcPr>
            <w:tcW w:type="dxa" w:w="1247"/>
          </w:tcPr>
          <w:p>
            <w:r>
              <w:rPr>
                <w:rFonts w:ascii="Aptos" w:hAnsi="Aptos"/>
                <w:sz w:val="20"/>
              </w:rPr>
              <w:t>2.1</w:t>
            </w:r>
          </w:p>
        </w:tc>
        <w:tc>
          <w:tcPr>
            <w:tcW w:type="dxa" w:w="1417"/>
          </w:tcPr>
          <w:p>
            <w:r>
              <w:rPr>
                <w:rFonts w:ascii="Aptos" w:hAnsi="Aptos"/>
                <w:sz w:val="20"/>
              </w:rPr>
              <w:t>3.5</w:t>
            </w:r>
          </w:p>
        </w:tc>
        <w:tc>
          <w:tcPr>
            <w:tcW w:type="dxa" w:w="1247"/>
          </w:tcPr>
          <w:p>
            <w:r>
              <w:rPr>
                <w:rFonts w:ascii="Aptos" w:hAnsi="Aptos"/>
                <w:sz w:val="20"/>
              </w:rPr>
              <w:t>-1.4</w:t>
            </w:r>
          </w:p>
        </w:tc>
        <w:tc>
          <w:tcPr>
            <w:tcW w:type="dxa" w:w="1247"/>
          </w:tcPr>
          <w:p>
            <w:r>
              <w:rPr>
                <w:rFonts w:ascii="Aptos" w:hAnsi="Aptos"/>
                <w:sz w:val="20"/>
              </w:rPr>
              <w:t>+0.03</w:t>
            </w:r>
          </w:p>
        </w:tc>
        <w:tc>
          <w:tcPr>
            <w:tcW w:type="dxa" w:w="1247"/>
          </w:tcPr>
          <w:p>
            <w:r>
              <w:rPr>
                <w:rFonts w:ascii="Aptos" w:hAnsi="Aptos"/>
                <w:sz w:val="20"/>
              </w:rPr>
              <w:t>-0.10</w:t>
            </w:r>
          </w:p>
        </w:tc>
        <w:tc>
          <w:tcPr>
            <w:tcW w:type="dxa" w:w="1247"/>
          </w:tcPr>
          <w:p>
            <w:r>
              <w:rPr>
                <w:rFonts w:ascii="Aptos" w:hAnsi="Aptos"/>
                <w:sz w:val="20"/>
              </w:rPr>
              <w:t>-0.07</w:t>
            </w:r>
          </w:p>
        </w:tc>
      </w:tr>
      <w:tr>
        <w:tc>
          <w:tcPr>
            <w:tcW w:type="dxa" w:w="2268"/>
          </w:tcPr>
          <w:p>
            <w:r>
              <w:rPr>
                <w:rFonts w:ascii="Aptos" w:hAnsi="Aptos"/>
                <w:sz w:val="20"/>
              </w:rPr>
              <w:t>Switzerland</w:t>
            </w:r>
          </w:p>
        </w:tc>
        <w:tc>
          <w:tcPr>
            <w:tcW w:type="dxa" w:w="1247"/>
          </w:tcPr>
          <w:p>
            <w:r>
              <w:rPr>
                <w:rFonts w:ascii="Aptos" w:hAnsi="Aptos"/>
                <w:sz w:val="20"/>
              </w:rPr>
              <w:t>0.0</w:t>
            </w:r>
          </w:p>
        </w:tc>
        <w:tc>
          <w:tcPr>
            <w:tcW w:type="dxa" w:w="1417"/>
          </w:tcPr>
          <w:p>
            <w:r>
              <w:rPr>
                <w:rFonts w:ascii="Aptos" w:hAnsi="Aptos"/>
                <w:sz w:val="20"/>
              </w:rPr>
              <w:t>2.3</w:t>
            </w:r>
          </w:p>
        </w:tc>
        <w:tc>
          <w:tcPr>
            <w:tcW w:type="dxa" w:w="1247"/>
          </w:tcPr>
          <w:p>
            <w:r>
              <w:rPr>
                <w:rFonts w:ascii="Aptos" w:hAnsi="Aptos"/>
                <w:sz w:val="20"/>
              </w:rPr>
              <w:t>-2.3</w:t>
            </w:r>
          </w:p>
        </w:tc>
        <w:tc>
          <w:tcPr>
            <w:tcW w:type="dxa" w:w="1247"/>
          </w:tcPr>
          <w:p>
            <w:r>
              <w:rPr>
                <w:rFonts w:ascii="Aptos" w:hAnsi="Aptos"/>
                <w:sz w:val="20"/>
              </w:rPr>
              <w:t>+0.06</w:t>
            </w:r>
          </w:p>
        </w:tc>
        <w:tc>
          <w:tcPr>
            <w:tcW w:type="dxa" w:w="1247"/>
          </w:tcPr>
          <w:p>
            <w:r>
              <w:rPr>
                <w:rFonts w:ascii="Aptos" w:hAnsi="Aptos"/>
                <w:sz w:val="20"/>
              </w:rPr>
              <w:t>+0.00</w:t>
            </w:r>
          </w:p>
        </w:tc>
        <w:tc>
          <w:tcPr>
            <w:tcW w:type="dxa" w:w="1247"/>
          </w:tcPr>
          <w:p>
            <w:r>
              <w:rPr>
                <w:rFonts w:ascii="Aptos" w:hAnsi="Aptos"/>
                <w:sz w:val="20"/>
              </w:rPr>
              <w:t>+0.06</w:t>
            </w:r>
          </w:p>
        </w:tc>
      </w:tr>
      <w:tr>
        <w:tc>
          <w:tcPr>
            <w:tcW w:type="dxa" w:w="2268"/>
          </w:tcPr>
          <w:p>
            <w:r>
              <w:rPr>
                <w:rFonts w:ascii="Aptos" w:hAnsi="Aptos"/>
                <w:sz w:val="20"/>
              </w:rPr>
              <w:t>All other countries</w:t>
            </w:r>
          </w:p>
        </w:tc>
        <w:tc>
          <w:tcPr>
            <w:tcW w:type="dxa" w:w="1247"/>
          </w:tcPr>
          <w:p>
            <w:r>
              <w:rPr>
                <w:rFonts w:ascii="Aptos" w:hAnsi="Aptos"/>
                <w:sz w:val="20"/>
              </w:rPr>
              <w:t>7.2</w:t>
            </w:r>
          </w:p>
        </w:tc>
        <w:tc>
          <w:tcPr>
            <w:tcW w:type="dxa" w:w="1417"/>
          </w:tcPr>
          <w:p>
            <w:r>
              <w:rPr>
                <w:rFonts w:ascii="Aptos" w:hAnsi="Aptos"/>
                <w:sz w:val="20"/>
              </w:rPr>
              <w:t>6.8</w:t>
            </w:r>
          </w:p>
        </w:tc>
        <w:tc>
          <w:tcPr>
            <w:tcW w:type="dxa" w:w="1247"/>
          </w:tcPr>
          <w:p>
            <w:r>
              <w:rPr>
                <w:rFonts w:ascii="Aptos" w:hAnsi="Aptos"/>
                <w:sz w:val="20"/>
              </w:rPr>
              <w:t>+0.4</w:t>
            </w:r>
          </w:p>
        </w:tc>
        <w:tc>
          <w:tcPr>
            <w:tcW w:type="dxa" w:w="1247"/>
          </w:tcPr>
          <w:p>
            <w:r>
              <w:rPr>
                <w:rFonts w:ascii="Aptos" w:hAnsi="Aptos"/>
                <w:sz w:val="20"/>
              </w:rPr>
              <w:t>+0.10</w:t>
            </w:r>
          </w:p>
        </w:tc>
        <w:tc>
          <w:tcPr>
            <w:tcW w:type="dxa" w:w="1247"/>
          </w:tcPr>
          <w:p>
            <w:r>
              <w:rPr>
                <w:rFonts w:ascii="Aptos" w:hAnsi="Aptos"/>
                <w:sz w:val="20"/>
              </w:rPr>
              <w:t>-0.04</w:t>
            </w:r>
          </w:p>
        </w:tc>
        <w:tc>
          <w:tcPr>
            <w:tcW w:type="dxa" w:w="1247"/>
          </w:tcPr>
          <w:p>
            <w:r>
              <w:rPr>
                <w:rFonts w:ascii="Aptos" w:hAnsi="Aptos"/>
                <w:sz w:val="20"/>
              </w:rPr>
              <w:t>+0.06</w:t>
            </w:r>
          </w:p>
        </w:tc>
      </w:tr>
    </w:tbl>
    <w:p/>
    <w:p>
      <w:pPr>
        <w:pStyle w:val="Heading1"/>
      </w:pPr>
      <w:r>
        <w:rPr>
          <w:rFonts w:ascii="Aptos" w:hAnsi="Aptos"/>
          <w:color w:val="1A2E3B"/>
        </w:rPr>
        <w:t>Holding</w:t>
      </w:r>
    </w:p>
    <w:tbl>
      <w:tblGrid>
        <w:gridCol w:w="2268"/>
        <w:gridCol w:w="1247"/>
        <w:gridCol w:w="1417"/>
        <w:gridCol w:w="1247"/>
        <w:gridCol w:w="1247"/>
        <w:gridCol w:w="1247"/>
        <w:gridCol w:w="1247"/>
      </w:tblGrid>
      <w:tblPr>
        <w:tblW w:type="auto" w:w="0"/>
        <w:jc w:val="left"/>
        <w:tblLayout w:type="fixed"/>
        <w:tblLook w:firstColumn="1" w:firstRow="1" w:lastColumn="0" w:lastRow="0" w:noHBand="0" w:noVBand="1" w:val="04A0"/>
      </w:tblPr>
      <w:tr>
        <w:tc>
          <w:tcPr>
            <w:tcW w:type="dxa" w:w="2268"/>
            <w:shd w:val="clear" w:color="auto" w:fill="E8EEEC"/>
          </w:tcPr>
          <w:p>
            <w:pPr>
              <w:jc w:val="left"/>
            </w:pPr>
            <w:r>
              <w:rPr>
                <w:rFonts w:ascii="Aptos" w:hAnsi="Aptos"/>
                <w:b/>
                <w:color w:val="1A2E3B"/>
                <w:sz w:val="20"/>
              </w:rPr>
            </w:r>
          </w:p>
        </w:tc>
        <w:tc>
          <w:tcPr>
            <w:tcW w:type="dxa" w:w="1247"/>
            <w:shd w:val="clear" w:color="auto" w:fill="E8EEEC"/>
          </w:tcPr>
          <w:p>
            <w:pPr>
              <w:jc w:val="left"/>
            </w:pPr>
            <w:r>
              <w:rPr>
                <w:rFonts w:ascii="Aptos" w:hAnsi="Aptos"/>
                <w:b/>
                <w:color w:val="1A2E3B"/>
                <w:sz w:val="20"/>
              </w:rPr>
              <w:t>Fund (%)</w:t>
            </w:r>
          </w:p>
        </w:tc>
        <w:tc>
          <w:tcPr>
            <w:tcW w:type="dxa" w:w="1417"/>
            <w:shd w:val="clear" w:color="auto" w:fill="E8EEEC"/>
          </w:tcPr>
          <w:p>
            <w:pPr>
              <w:jc w:val="left"/>
            </w:pPr>
            <w:r>
              <w:rPr>
                <w:rFonts w:ascii="Aptos" w:hAnsi="Aptos"/>
                <w:b/>
                <w:color w:val="1A2E3B"/>
                <w:sz w:val="20"/>
              </w:rPr>
              <w:t>Benchmark (%)</w:t>
            </w:r>
          </w:p>
        </w:tc>
        <w:tc>
          <w:tcPr>
            <w:tcW w:type="dxa" w:w="1247"/>
            <w:shd w:val="clear" w:color="auto" w:fill="E8EEEC"/>
          </w:tcPr>
          <w:p>
            <w:pPr>
              <w:jc w:val="left"/>
            </w:pPr>
            <w:r>
              <w:rPr>
                <w:rFonts w:ascii="Aptos" w:hAnsi="Aptos"/>
                <w:b/>
                <w:color w:val="1A2E3B"/>
                <w:sz w:val="20"/>
              </w:rPr>
              <w:t>Active (%)</w:t>
            </w:r>
          </w:p>
        </w:tc>
        <w:tc>
          <w:tcPr>
            <w:tcW w:type="dxa" w:w="1247"/>
            <w:shd w:val="clear" w:color="auto" w:fill="E8EEEC"/>
          </w:tcPr>
          <w:p>
            <w:pPr>
              <w:jc w:val="left"/>
            </w:pPr>
            <w:r>
              <w:rPr>
                <w:rFonts w:ascii="Aptos" w:hAnsi="Aptos"/>
                <w:b/>
                <w:color w:val="1A2E3B"/>
                <w:sz w:val="20"/>
              </w:rPr>
              <w:t>Alloc. (%)</w:t>
            </w:r>
          </w:p>
        </w:tc>
        <w:tc>
          <w:tcPr>
            <w:tcW w:type="dxa" w:w="1247"/>
            <w:shd w:val="clear" w:color="auto" w:fill="E8EEEC"/>
          </w:tcPr>
          <w:p>
            <w:pPr>
              <w:jc w:val="left"/>
            </w:pPr>
            <w:r>
              <w:rPr>
                <w:rFonts w:ascii="Aptos" w:hAnsi="Aptos"/>
                <w:b/>
                <w:color w:val="1A2E3B"/>
                <w:sz w:val="20"/>
              </w:rPr>
              <w:t>Select. (%)</w:t>
            </w:r>
          </w:p>
        </w:tc>
        <w:tc>
          <w:tcPr>
            <w:tcW w:type="dxa" w:w="1247"/>
            <w:shd w:val="clear" w:color="auto" w:fill="E8EEEC"/>
          </w:tcPr>
          <w:p>
            <w:pPr>
              <w:jc w:val="left"/>
            </w:pPr>
            <w:r>
              <w:rPr>
                <w:rFonts w:ascii="Aptos" w:hAnsi="Aptos"/>
                <w:b/>
                <w:color w:val="1A2E3B"/>
                <w:sz w:val="20"/>
              </w:rPr>
              <w:t>Total (%)</w:t>
            </w:r>
          </w:p>
        </w:tc>
      </w:tr>
      <w:tr>
        <w:tc>
          <w:tcPr>
            <w:tcW w:type="dxa" w:w="2268"/>
          </w:tcPr>
          <w:p>
            <w:r>
              <w:rPr>
                <w:rFonts w:ascii="Aptos" w:hAnsi="Aptos"/>
                <w:sz w:val="20"/>
              </w:rPr>
              <w:t>BHP Group Ltd</w:t>
            </w:r>
          </w:p>
        </w:tc>
        <w:tc>
          <w:tcPr>
            <w:tcW w:type="dxa" w:w="1247"/>
          </w:tcPr>
          <w:p>
            <w:r>
              <w:rPr>
                <w:rFonts w:ascii="Aptos" w:hAnsi="Aptos"/>
                <w:sz w:val="20"/>
              </w:rPr>
              <w:t>3.2</w:t>
            </w:r>
          </w:p>
        </w:tc>
        <w:tc>
          <w:tcPr>
            <w:tcW w:type="dxa" w:w="1417"/>
          </w:tcPr>
          <w:p>
            <w:r>
              <w:rPr>
                <w:rFonts w:ascii="Aptos" w:hAnsi="Aptos"/>
                <w:sz w:val="20"/>
              </w:rPr>
              <w:t>0.2</w:t>
            </w:r>
          </w:p>
        </w:tc>
        <w:tc>
          <w:tcPr>
            <w:tcW w:type="dxa" w:w="1247"/>
          </w:tcPr>
          <w:p>
            <w:r>
              <w:rPr>
                <w:rFonts w:ascii="Aptos" w:hAnsi="Aptos"/>
                <w:sz w:val="20"/>
              </w:rPr>
              <w:t>+2.9</w:t>
            </w:r>
          </w:p>
        </w:tc>
        <w:tc>
          <w:tcPr>
            <w:tcW w:type="dxa" w:w="1247"/>
          </w:tcPr>
          <w:p>
            <w:r>
              <w:rPr>
                <w:rFonts w:ascii="Aptos" w:hAnsi="Aptos"/>
                <w:sz w:val="20"/>
              </w:rPr>
              <w:t>+0.29</w:t>
            </w:r>
          </w:p>
        </w:tc>
        <w:tc>
          <w:tcPr>
            <w:tcW w:type="dxa" w:w="1247"/>
          </w:tcPr>
          <w:p>
            <w:r>
              <w:rPr>
                <w:rFonts w:ascii="Aptos" w:hAnsi="Aptos"/>
                <w:sz w:val="20"/>
              </w:rPr>
              <w:t>-0.03</w:t>
            </w:r>
          </w:p>
        </w:tc>
        <w:tc>
          <w:tcPr>
            <w:tcW w:type="dxa" w:w="1247"/>
          </w:tcPr>
          <w:p>
            <w:r>
              <w:rPr>
                <w:rFonts w:ascii="Aptos" w:hAnsi="Aptos"/>
                <w:sz w:val="20"/>
              </w:rPr>
              <w:t>+0.26</w:t>
            </w:r>
          </w:p>
        </w:tc>
      </w:tr>
      <w:tr>
        <w:tc>
          <w:tcPr>
            <w:tcW w:type="dxa" w:w="2268"/>
          </w:tcPr>
          <w:p>
            <w:r>
              <w:rPr>
                <w:rFonts w:ascii="Aptos" w:hAnsi="Aptos"/>
                <w:sz w:val="20"/>
              </w:rPr>
              <w:t>Merck &amp; Co., Inc.</w:t>
            </w:r>
          </w:p>
        </w:tc>
        <w:tc>
          <w:tcPr>
            <w:tcW w:type="dxa" w:w="1247"/>
          </w:tcPr>
          <w:p>
            <w:r>
              <w:rPr>
                <w:rFonts w:ascii="Aptos" w:hAnsi="Aptos"/>
                <w:sz w:val="20"/>
              </w:rPr>
              <w:t>2.8</w:t>
            </w:r>
          </w:p>
        </w:tc>
        <w:tc>
          <w:tcPr>
            <w:tcW w:type="dxa" w:w="1417"/>
          </w:tcPr>
          <w:p>
            <w:r>
              <w:rPr>
                <w:rFonts w:ascii="Aptos" w:hAnsi="Aptos"/>
                <w:sz w:val="20"/>
              </w:rPr>
              <w:t>0.4</w:t>
            </w:r>
          </w:p>
        </w:tc>
        <w:tc>
          <w:tcPr>
            <w:tcW w:type="dxa" w:w="1247"/>
          </w:tcPr>
          <w:p>
            <w:r>
              <w:rPr>
                <w:rFonts w:ascii="Aptos" w:hAnsi="Aptos"/>
                <w:sz w:val="20"/>
              </w:rPr>
              <w:t>+2.5</w:t>
            </w:r>
          </w:p>
        </w:tc>
        <w:tc>
          <w:tcPr>
            <w:tcW w:type="dxa" w:w="1247"/>
          </w:tcPr>
          <w:p>
            <w:r>
              <w:rPr>
                <w:rFonts w:ascii="Aptos" w:hAnsi="Aptos"/>
                <w:sz w:val="20"/>
              </w:rPr>
              <w:t>+0.26</w:t>
            </w:r>
          </w:p>
        </w:tc>
        <w:tc>
          <w:tcPr>
            <w:tcW w:type="dxa" w:w="1247"/>
          </w:tcPr>
          <w:p>
            <w:r>
              <w:rPr>
                <w:rFonts w:ascii="Aptos" w:hAnsi="Aptos"/>
                <w:sz w:val="20"/>
              </w:rPr>
              <w:t>+0.00</w:t>
            </w:r>
          </w:p>
        </w:tc>
        <w:tc>
          <w:tcPr>
            <w:tcW w:type="dxa" w:w="1247"/>
          </w:tcPr>
          <w:p>
            <w:r>
              <w:rPr>
                <w:rFonts w:ascii="Aptos" w:hAnsi="Aptos"/>
                <w:sz w:val="20"/>
              </w:rPr>
              <w:t>+0.26</w:t>
            </w:r>
          </w:p>
        </w:tc>
      </w:tr>
      <w:tr>
        <w:tc>
          <w:tcPr>
            <w:tcW w:type="dxa" w:w="2268"/>
          </w:tcPr>
          <w:p>
            <w:r>
              <w:rPr>
                <w:rFonts w:ascii="Aptos" w:hAnsi="Aptos"/>
                <w:sz w:val="20"/>
              </w:rPr>
              <w:t>SAP SE</w:t>
            </w:r>
          </w:p>
        </w:tc>
        <w:tc>
          <w:tcPr>
            <w:tcW w:type="dxa" w:w="1247"/>
          </w:tcPr>
          <w:p>
            <w:r>
              <w:rPr>
                <w:rFonts w:ascii="Aptos" w:hAnsi="Aptos"/>
                <w:sz w:val="20"/>
              </w:rPr>
              <w:t>1.0</w:t>
            </w:r>
          </w:p>
        </w:tc>
        <w:tc>
          <w:tcPr>
            <w:tcW w:type="dxa" w:w="1417"/>
          </w:tcPr>
          <w:p>
            <w:r>
              <w:rPr>
                <w:rFonts w:ascii="Aptos" w:hAnsi="Aptos"/>
                <w:sz w:val="20"/>
              </w:rPr>
              <w:t>0.2</w:t>
            </w:r>
          </w:p>
        </w:tc>
        <w:tc>
          <w:tcPr>
            <w:tcW w:type="dxa" w:w="1247"/>
          </w:tcPr>
          <w:p>
            <w:r>
              <w:rPr>
                <w:rFonts w:ascii="Aptos" w:hAnsi="Aptos"/>
                <w:sz w:val="20"/>
              </w:rPr>
              <w:t>+0.7</w:t>
            </w:r>
          </w:p>
        </w:tc>
        <w:tc>
          <w:tcPr>
            <w:tcW w:type="dxa" w:w="1247"/>
          </w:tcPr>
          <w:p>
            <w:r>
              <w:rPr>
                <w:rFonts w:ascii="Aptos" w:hAnsi="Aptos"/>
                <w:sz w:val="20"/>
              </w:rPr>
              <w:t>+0.13</w:t>
            </w:r>
          </w:p>
        </w:tc>
        <w:tc>
          <w:tcPr>
            <w:tcW w:type="dxa" w:w="1247"/>
          </w:tcPr>
          <w:p>
            <w:r>
              <w:rPr>
                <w:rFonts w:ascii="Aptos" w:hAnsi="Aptos"/>
                <w:sz w:val="20"/>
              </w:rPr>
              <w:t>+0.00</w:t>
            </w:r>
          </w:p>
        </w:tc>
        <w:tc>
          <w:tcPr>
            <w:tcW w:type="dxa" w:w="1247"/>
          </w:tcPr>
          <w:p>
            <w:r>
              <w:rPr>
                <w:rFonts w:ascii="Aptos" w:hAnsi="Aptos"/>
                <w:sz w:val="20"/>
              </w:rPr>
              <w:t>+0.13</w:t>
            </w:r>
          </w:p>
        </w:tc>
      </w:tr>
      <w:tr>
        <w:tc>
          <w:tcPr>
            <w:tcW w:type="dxa" w:w="2268"/>
          </w:tcPr>
          <w:p>
            <w:r>
              <w:rPr>
                <w:rFonts w:ascii="Aptos" w:hAnsi="Aptos"/>
                <w:sz w:val="20"/>
              </w:rPr>
              <w:t>Oracle Corporation</w:t>
            </w:r>
          </w:p>
        </w:tc>
        <w:tc>
          <w:tcPr>
            <w:tcW w:type="dxa" w:w="1247"/>
          </w:tcPr>
          <w:p>
            <w:r>
              <w:rPr>
                <w:rFonts w:ascii="Aptos" w:hAnsi="Aptos"/>
                <w:sz w:val="20"/>
              </w:rPr>
              <w:t>1.1</w:t>
            </w:r>
          </w:p>
        </w:tc>
        <w:tc>
          <w:tcPr>
            <w:tcW w:type="dxa" w:w="1417"/>
          </w:tcPr>
          <w:p>
            <w:r>
              <w:rPr>
                <w:rFonts w:ascii="Aptos" w:hAnsi="Aptos"/>
                <w:sz w:val="20"/>
              </w:rPr>
              <w:t>0.3</w:t>
            </w:r>
          </w:p>
        </w:tc>
        <w:tc>
          <w:tcPr>
            <w:tcW w:type="dxa" w:w="1247"/>
          </w:tcPr>
          <w:p>
            <w:r>
              <w:rPr>
                <w:rFonts w:ascii="Aptos" w:hAnsi="Aptos"/>
                <w:sz w:val="20"/>
              </w:rPr>
              <w:t>+0.8</w:t>
            </w:r>
          </w:p>
        </w:tc>
        <w:tc>
          <w:tcPr>
            <w:tcW w:type="dxa" w:w="1247"/>
          </w:tcPr>
          <w:p>
            <w:r>
              <w:rPr>
                <w:rFonts w:ascii="Aptos" w:hAnsi="Aptos"/>
                <w:sz w:val="20"/>
              </w:rPr>
              <w:t>+0.09</w:t>
            </w:r>
          </w:p>
        </w:tc>
        <w:tc>
          <w:tcPr>
            <w:tcW w:type="dxa" w:w="1247"/>
          </w:tcPr>
          <w:p>
            <w:r>
              <w:rPr>
                <w:rFonts w:ascii="Aptos" w:hAnsi="Aptos"/>
                <w:sz w:val="20"/>
              </w:rPr>
              <w:t>-0.00</w:t>
            </w:r>
          </w:p>
        </w:tc>
        <w:tc>
          <w:tcPr>
            <w:tcW w:type="dxa" w:w="1247"/>
          </w:tcPr>
          <w:p>
            <w:r>
              <w:rPr>
                <w:rFonts w:ascii="Aptos" w:hAnsi="Aptos"/>
                <w:sz w:val="20"/>
              </w:rPr>
              <w:t>+0.09</w:t>
            </w:r>
          </w:p>
        </w:tc>
      </w:tr>
      <w:tr>
        <w:tc>
          <w:tcPr>
            <w:tcW w:type="dxa" w:w="2268"/>
          </w:tcPr>
          <w:p>
            <w:r>
              <w:rPr>
                <w:rFonts w:ascii="Aptos" w:hAnsi="Aptos"/>
                <w:sz w:val="20"/>
              </w:rPr>
              <w:t>BlackRock, Inc.</w:t>
            </w:r>
          </w:p>
        </w:tc>
        <w:tc>
          <w:tcPr>
            <w:tcW w:type="dxa" w:w="1247"/>
          </w:tcPr>
          <w:p>
            <w:r>
              <w:rPr>
                <w:rFonts w:ascii="Aptos" w:hAnsi="Aptos"/>
                <w:sz w:val="20"/>
              </w:rPr>
              <w:t>2.2</w:t>
            </w:r>
          </w:p>
        </w:tc>
        <w:tc>
          <w:tcPr>
            <w:tcW w:type="dxa" w:w="1417"/>
          </w:tcPr>
          <w:p>
            <w:r>
              <w:rPr>
                <w:rFonts w:ascii="Aptos" w:hAnsi="Aptos"/>
                <w:sz w:val="20"/>
              </w:rPr>
              <w:t>0.2</w:t>
            </w:r>
          </w:p>
        </w:tc>
        <w:tc>
          <w:tcPr>
            <w:tcW w:type="dxa" w:w="1247"/>
          </w:tcPr>
          <w:p>
            <w:r>
              <w:rPr>
                <w:rFonts w:ascii="Aptos" w:hAnsi="Aptos"/>
                <w:sz w:val="20"/>
              </w:rPr>
              <w:t>+2.0</w:t>
            </w:r>
          </w:p>
        </w:tc>
        <w:tc>
          <w:tcPr>
            <w:tcW w:type="dxa" w:w="1247"/>
          </w:tcPr>
          <w:p>
            <w:r>
              <w:rPr>
                <w:rFonts w:ascii="Aptos" w:hAnsi="Aptos"/>
                <w:sz w:val="20"/>
              </w:rPr>
              <w:t>+0.06</w:t>
            </w:r>
          </w:p>
        </w:tc>
        <w:tc>
          <w:tcPr>
            <w:tcW w:type="dxa" w:w="1247"/>
          </w:tcPr>
          <w:p>
            <w:r>
              <w:rPr>
                <w:rFonts w:ascii="Aptos" w:hAnsi="Aptos"/>
                <w:sz w:val="20"/>
              </w:rPr>
              <w:t>+0.00</w:t>
            </w:r>
          </w:p>
        </w:tc>
        <w:tc>
          <w:tcPr>
            <w:tcW w:type="dxa" w:w="1247"/>
          </w:tcPr>
          <w:p>
            <w:r>
              <w:rPr>
                <w:rFonts w:ascii="Aptos" w:hAnsi="Aptos"/>
                <w:sz w:val="20"/>
              </w:rPr>
              <w:t>+0.06</w:t>
            </w:r>
          </w:p>
        </w:tc>
      </w:tr>
      <w:tr>
        <w:tc>
          <w:tcPr>
            <w:tcW w:type="dxa" w:w="2268"/>
          </w:tcPr>
          <w:p>
            <w:r>
              <w:rPr>
                <w:rFonts w:ascii="Aptos" w:hAnsi="Aptos"/>
                <w:sz w:val="20"/>
              </w:rPr>
              <w:t>Amazon.com, Inc.</w:t>
            </w:r>
          </w:p>
        </w:tc>
        <w:tc>
          <w:tcPr>
            <w:tcW w:type="dxa" w:w="1247"/>
          </w:tcPr>
          <w:p>
            <w:r>
              <w:rPr>
                <w:rFonts w:ascii="Aptos" w:hAnsi="Aptos"/>
                <w:sz w:val="20"/>
              </w:rPr>
              <w:t>2.1</w:t>
            </w:r>
          </w:p>
        </w:tc>
        <w:tc>
          <w:tcPr>
            <w:tcW w:type="dxa" w:w="1417"/>
          </w:tcPr>
          <w:p>
            <w:r>
              <w:rPr>
                <w:rFonts w:ascii="Aptos" w:hAnsi="Aptos"/>
                <w:sz w:val="20"/>
              </w:rPr>
              <w:t>2.8</w:t>
            </w:r>
          </w:p>
        </w:tc>
        <w:tc>
          <w:tcPr>
            <w:tcW w:type="dxa" w:w="1247"/>
          </w:tcPr>
          <w:p>
            <w:r>
              <w:rPr>
                <w:rFonts w:ascii="Aptos" w:hAnsi="Aptos"/>
                <w:sz w:val="20"/>
              </w:rPr>
              <w:t>-0.7</w:t>
            </w:r>
          </w:p>
        </w:tc>
        <w:tc>
          <w:tcPr>
            <w:tcW w:type="dxa" w:w="1247"/>
          </w:tcPr>
          <w:p>
            <w:r>
              <w:rPr>
                <w:rFonts w:ascii="Aptos" w:hAnsi="Aptos"/>
                <w:sz w:val="20"/>
              </w:rPr>
              <w:t>+0.06</w:t>
            </w:r>
          </w:p>
        </w:tc>
        <w:tc>
          <w:tcPr>
            <w:tcW w:type="dxa" w:w="1247"/>
          </w:tcPr>
          <w:p>
            <w:r>
              <w:rPr>
                <w:rFonts w:ascii="Aptos" w:hAnsi="Aptos"/>
                <w:sz w:val="20"/>
              </w:rPr>
              <w:t>-0.00</w:t>
            </w:r>
          </w:p>
        </w:tc>
        <w:tc>
          <w:tcPr>
            <w:tcW w:type="dxa" w:w="1247"/>
          </w:tcPr>
          <w:p>
            <w:r>
              <w:rPr>
                <w:rFonts w:ascii="Aptos" w:hAnsi="Aptos"/>
                <w:sz w:val="20"/>
              </w:rPr>
              <w:t>+0.06</w:t>
            </w:r>
          </w:p>
        </w:tc>
      </w:tr>
      <w:tr>
        <w:tc>
          <w:tcPr>
            <w:tcW w:type="dxa" w:w="2268"/>
          </w:tcPr>
          <w:p>
            <w:r>
              <w:rPr>
                <w:rFonts w:ascii="Aptos" w:hAnsi="Aptos"/>
                <w:sz w:val="20"/>
              </w:rPr>
              <w:t>Alphabet Inc. Class A</w:t>
            </w:r>
          </w:p>
        </w:tc>
        <w:tc>
          <w:tcPr>
            <w:tcW w:type="dxa" w:w="1247"/>
          </w:tcPr>
          <w:p>
            <w:r>
              <w:rPr>
                <w:rFonts w:ascii="Aptos" w:hAnsi="Aptos"/>
                <w:sz w:val="20"/>
              </w:rPr>
              <w:t>3.2</w:t>
            </w:r>
          </w:p>
        </w:tc>
        <w:tc>
          <w:tcPr>
            <w:tcW w:type="dxa" w:w="1417"/>
          </w:tcPr>
          <w:p>
            <w:r>
              <w:rPr>
                <w:rFonts w:ascii="Aptos" w:hAnsi="Aptos"/>
                <w:sz w:val="20"/>
              </w:rPr>
              <w:t>4.0</w:t>
            </w:r>
          </w:p>
        </w:tc>
        <w:tc>
          <w:tcPr>
            <w:tcW w:type="dxa" w:w="1247"/>
          </w:tcPr>
          <w:p>
            <w:r>
              <w:rPr>
                <w:rFonts w:ascii="Aptos" w:hAnsi="Aptos"/>
                <w:sz w:val="20"/>
              </w:rPr>
              <w:t>-0.8</w:t>
            </w:r>
          </w:p>
        </w:tc>
        <w:tc>
          <w:tcPr>
            <w:tcW w:type="dxa" w:w="1247"/>
          </w:tcPr>
          <w:p>
            <w:r>
              <w:rPr>
                <w:rFonts w:ascii="Aptos" w:hAnsi="Aptos"/>
                <w:sz w:val="20"/>
              </w:rPr>
              <w:t>+0.07</w:t>
            </w:r>
          </w:p>
        </w:tc>
        <w:tc>
          <w:tcPr>
            <w:tcW w:type="dxa" w:w="1247"/>
          </w:tcPr>
          <w:p>
            <w:r>
              <w:rPr>
                <w:rFonts w:ascii="Aptos" w:hAnsi="Aptos"/>
                <w:sz w:val="20"/>
              </w:rPr>
              <w:t>-0.02</w:t>
            </w:r>
          </w:p>
        </w:tc>
        <w:tc>
          <w:tcPr>
            <w:tcW w:type="dxa" w:w="1247"/>
          </w:tcPr>
          <w:p>
            <w:r>
              <w:rPr>
                <w:rFonts w:ascii="Aptos" w:hAnsi="Aptos"/>
                <w:sz w:val="20"/>
              </w:rPr>
              <w:t>+0.05</w:t>
            </w:r>
          </w:p>
        </w:tc>
      </w:tr>
      <w:tr>
        <w:tc>
          <w:tcPr>
            <w:tcW w:type="dxa" w:w="2268"/>
          </w:tcPr>
          <w:p>
            <w:r>
              <w:rPr>
                <w:rFonts w:ascii="Aptos" w:hAnsi="Aptos"/>
                <w:sz w:val="20"/>
              </w:rPr>
              <w:t>ASML Holding NV</w:t>
            </w:r>
          </w:p>
        </w:tc>
        <w:tc>
          <w:tcPr>
            <w:tcW w:type="dxa" w:w="1247"/>
          </w:tcPr>
          <w:p>
            <w:r>
              <w:rPr>
                <w:rFonts w:ascii="Aptos" w:hAnsi="Aptos"/>
                <w:sz w:val="20"/>
              </w:rPr>
              <w:t>2.9</w:t>
            </w:r>
          </w:p>
        </w:tc>
        <w:tc>
          <w:tcPr>
            <w:tcW w:type="dxa" w:w="1417"/>
          </w:tcPr>
          <w:p>
            <w:r>
              <w:rPr>
                <w:rFonts w:ascii="Aptos" w:hAnsi="Aptos"/>
                <w:sz w:val="20"/>
              </w:rPr>
              <w:t>0.7</w:t>
            </w:r>
          </w:p>
        </w:tc>
        <w:tc>
          <w:tcPr>
            <w:tcW w:type="dxa" w:w="1247"/>
          </w:tcPr>
          <w:p>
            <w:r>
              <w:rPr>
                <w:rFonts w:ascii="Aptos" w:hAnsi="Aptos"/>
                <w:sz w:val="20"/>
              </w:rPr>
              <w:t>+2.2</w:t>
            </w:r>
          </w:p>
        </w:tc>
        <w:tc>
          <w:tcPr>
            <w:tcW w:type="dxa" w:w="1247"/>
          </w:tcPr>
          <w:p>
            <w:r>
              <w:rPr>
                <w:rFonts w:ascii="Aptos" w:hAnsi="Aptos"/>
                <w:sz w:val="20"/>
              </w:rPr>
              <w:t>+0.01</w:t>
            </w:r>
          </w:p>
        </w:tc>
        <w:tc>
          <w:tcPr>
            <w:tcW w:type="dxa" w:w="1247"/>
          </w:tcPr>
          <w:p>
            <w:r>
              <w:rPr>
                <w:rFonts w:ascii="Aptos" w:hAnsi="Aptos"/>
                <w:sz w:val="20"/>
              </w:rPr>
              <w:t>+0.00</w:t>
            </w:r>
          </w:p>
        </w:tc>
        <w:tc>
          <w:tcPr>
            <w:tcW w:type="dxa" w:w="1247"/>
          </w:tcPr>
          <w:p>
            <w:r>
              <w:rPr>
                <w:rFonts w:ascii="Aptos" w:hAnsi="Aptos"/>
                <w:sz w:val="20"/>
              </w:rPr>
              <w:t>+0.01</w:t>
            </w:r>
          </w:p>
        </w:tc>
      </w:tr>
      <w:tr>
        <w:tc>
          <w:tcPr>
            <w:tcW w:type="dxa" w:w="2268"/>
          </w:tcPr>
          <w:p>
            <w:r>
              <w:rPr>
                <w:rFonts w:ascii="Aptos" w:hAnsi="Aptos"/>
                <w:sz w:val="20"/>
              </w:rPr>
              <w:t>Cisco Systems, Inc.</w:t>
            </w:r>
          </w:p>
        </w:tc>
        <w:tc>
          <w:tcPr>
            <w:tcW w:type="dxa" w:w="1247"/>
          </w:tcPr>
          <w:p>
            <w:r>
              <w:rPr>
                <w:rFonts w:ascii="Aptos" w:hAnsi="Aptos"/>
                <w:sz w:val="20"/>
              </w:rPr>
              <w:t>1.0</w:t>
            </w:r>
          </w:p>
        </w:tc>
        <w:tc>
          <w:tcPr>
            <w:tcW w:type="dxa" w:w="1417"/>
          </w:tcPr>
          <w:p>
            <w:r>
              <w:rPr>
                <w:rFonts w:ascii="Aptos" w:hAnsi="Aptos"/>
                <w:sz w:val="20"/>
              </w:rPr>
              <w:t>0.5</w:t>
            </w:r>
          </w:p>
        </w:tc>
        <w:tc>
          <w:tcPr>
            <w:tcW w:type="dxa" w:w="1247"/>
          </w:tcPr>
          <w:p>
            <w:r>
              <w:rPr>
                <w:rFonts w:ascii="Aptos" w:hAnsi="Aptos"/>
                <w:sz w:val="20"/>
              </w:rPr>
              <w:t>+0.5</w:t>
            </w:r>
          </w:p>
        </w:tc>
        <w:tc>
          <w:tcPr>
            <w:tcW w:type="dxa" w:w="1247"/>
          </w:tcPr>
          <w:p>
            <w:r>
              <w:rPr>
                <w:rFonts w:ascii="Aptos" w:hAnsi="Aptos"/>
                <w:sz w:val="20"/>
              </w:rPr>
              <w:t>+0.01</w:t>
            </w:r>
          </w:p>
        </w:tc>
        <w:tc>
          <w:tcPr>
            <w:tcW w:type="dxa" w:w="1247"/>
          </w:tcPr>
          <w:p>
            <w:r>
              <w:rPr>
                <w:rFonts w:ascii="Aptos" w:hAnsi="Aptos"/>
                <w:sz w:val="20"/>
              </w:rPr>
              <w:t>-0.00</w:t>
            </w:r>
          </w:p>
        </w:tc>
        <w:tc>
          <w:tcPr>
            <w:tcW w:type="dxa" w:w="1247"/>
          </w:tcPr>
          <w:p>
            <w:r>
              <w:rPr>
                <w:rFonts w:ascii="Aptos" w:hAnsi="Aptos"/>
                <w:sz w:val="20"/>
              </w:rPr>
              <w:t>+0.01</w:t>
            </w:r>
          </w:p>
        </w:tc>
      </w:tr>
      <w:tr>
        <w:tc>
          <w:tcPr>
            <w:tcW w:type="dxa" w:w="2268"/>
          </w:tcPr>
          <w:p>
            <w:r>
              <w:rPr>
                <w:rFonts w:ascii="Aptos" w:hAnsi="Aptos"/>
                <w:sz w:val="20"/>
              </w:rPr>
              <w:t>Meta Platforms Inc Class A</w:t>
            </w:r>
          </w:p>
        </w:tc>
        <w:tc>
          <w:tcPr>
            <w:tcW w:type="dxa" w:w="1247"/>
          </w:tcPr>
          <w:p>
            <w:r>
              <w:rPr>
                <w:rFonts w:ascii="Aptos" w:hAnsi="Aptos"/>
                <w:sz w:val="20"/>
              </w:rPr>
              <w:t>0.9</w:t>
            </w:r>
          </w:p>
        </w:tc>
        <w:tc>
          <w:tcPr>
            <w:tcW w:type="dxa" w:w="1417"/>
          </w:tcPr>
          <w:p>
            <w:r>
              <w:rPr>
                <w:rFonts w:ascii="Aptos" w:hAnsi="Aptos"/>
                <w:sz w:val="20"/>
              </w:rPr>
              <w:t>1.4</w:t>
            </w:r>
          </w:p>
        </w:tc>
        <w:tc>
          <w:tcPr>
            <w:tcW w:type="dxa" w:w="1247"/>
          </w:tcPr>
          <w:p>
            <w:r>
              <w:rPr>
                <w:rFonts w:ascii="Aptos" w:hAnsi="Aptos"/>
                <w:sz w:val="20"/>
              </w:rPr>
              <w:t>-0.4</w:t>
            </w:r>
          </w:p>
        </w:tc>
        <w:tc>
          <w:tcPr>
            <w:tcW w:type="dxa" w:w="1247"/>
          </w:tcPr>
          <w:p>
            <w:r>
              <w:rPr>
                <w:rFonts w:ascii="Aptos" w:hAnsi="Aptos"/>
                <w:sz w:val="20"/>
              </w:rPr>
              <w:t>+0.00</w:t>
            </w:r>
          </w:p>
        </w:tc>
        <w:tc>
          <w:tcPr>
            <w:tcW w:type="dxa" w:w="1247"/>
          </w:tcPr>
          <w:p>
            <w:r>
              <w:rPr>
                <w:rFonts w:ascii="Aptos" w:hAnsi="Aptos"/>
                <w:sz w:val="20"/>
              </w:rPr>
              <w:t>-0.00</w:t>
            </w:r>
          </w:p>
        </w:tc>
        <w:tc>
          <w:tcPr>
            <w:tcW w:type="dxa" w:w="1247"/>
          </w:tcPr>
          <w:p>
            <w:r>
              <w:rPr>
                <w:rFonts w:ascii="Aptos" w:hAnsi="Aptos"/>
                <w:sz w:val="20"/>
              </w:rPr>
              <w:t>+0.00</w:t>
            </w:r>
          </w:p>
        </w:tc>
      </w:tr>
      <w:tr>
        <w:tc>
          <w:tcPr>
            <w:tcW w:type="dxa" w:w="2268"/>
          </w:tcPr>
          <w:p>
            <w:r>
              <w:rPr>
                <w:rFonts w:ascii="Aptos" w:hAnsi="Aptos"/>
                <w:sz w:val="20"/>
              </w:rPr>
              <w:t>Broadcom Inc.</w:t>
            </w:r>
          </w:p>
        </w:tc>
        <w:tc>
          <w:tcPr>
            <w:tcW w:type="dxa" w:w="1247"/>
          </w:tcPr>
          <w:p>
            <w:r>
              <w:rPr>
                <w:rFonts w:ascii="Aptos" w:hAnsi="Aptos"/>
                <w:sz w:val="20"/>
              </w:rPr>
              <w:t>2.4</w:t>
            </w:r>
          </w:p>
        </w:tc>
        <w:tc>
          <w:tcPr>
            <w:tcW w:type="dxa" w:w="1417"/>
          </w:tcPr>
          <w:p>
            <w:r>
              <w:rPr>
                <w:rFonts w:ascii="Aptos" w:hAnsi="Aptos"/>
                <w:sz w:val="20"/>
              </w:rPr>
              <w:t>1.9</w:t>
            </w:r>
          </w:p>
        </w:tc>
        <w:tc>
          <w:tcPr>
            <w:tcW w:type="dxa" w:w="1247"/>
          </w:tcPr>
          <w:p>
            <w:r>
              <w:rPr>
                <w:rFonts w:ascii="Aptos" w:hAnsi="Aptos"/>
                <w:sz w:val="20"/>
              </w:rPr>
              <w:t>+0.5</w:t>
            </w:r>
          </w:p>
        </w:tc>
        <w:tc>
          <w:tcPr>
            <w:tcW w:type="dxa" w:w="1247"/>
          </w:tcPr>
          <w:p>
            <w:r>
              <w:rPr>
                <w:rFonts w:ascii="Aptos" w:hAnsi="Aptos"/>
                <w:sz w:val="20"/>
              </w:rPr>
              <w:t>-0.03</w:t>
            </w:r>
          </w:p>
        </w:tc>
        <w:tc>
          <w:tcPr>
            <w:tcW w:type="dxa" w:w="1247"/>
          </w:tcPr>
          <w:p>
            <w:r>
              <w:rPr>
                <w:rFonts w:ascii="Aptos" w:hAnsi="Aptos"/>
                <w:sz w:val="20"/>
              </w:rPr>
              <w:t>-0.00</w:t>
            </w:r>
          </w:p>
        </w:tc>
        <w:tc>
          <w:tcPr>
            <w:tcW w:type="dxa" w:w="1247"/>
          </w:tcPr>
          <w:p>
            <w:r>
              <w:rPr>
                <w:rFonts w:ascii="Aptos" w:hAnsi="Aptos"/>
                <w:sz w:val="20"/>
              </w:rPr>
              <w:t>-0.03</w:t>
            </w:r>
          </w:p>
        </w:tc>
      </w:tr>
      <w:tr>
        <w:tc>
          <w:tcPr>
            <w:tcW w:type="dxa" w:w="2268"/>
          </w:tcPr>
          <w:p>
            <w:r>
              <w:rPr>
                <w:rFonts w:ascii="Aptos" w:hAnsi="Aptos"/>
                <w:sz w:val="20"/>
              </w:rPr>
              <w:t>Microsoft Corporation</w:t>
            </w:r>
          </w:p>
        </w:tc>
        <w:tc>
          <w:tcPr>
            <w:tcW w:type="dxa" w:w="1247"/>
          </w:tcPr>
          <w:p>
            <w:r>
              <w:rPr>
                <w:rFonts w:ascii="Aptos" w:hAnsi="Aptos"/>
                <w:sz w:val="20"/>
              </w:rPr>
              <w:t>3.2</w:t>
            </w:r>
          </w:p>
        </w:tc>
        <w:tc>
          <w:tcPr>
            <w:tcW w:type="dxa" w:w="1417"/>
          </w:tcPr>
          <w:p>
            <w:r>
              <w:rPr>
                <w:rFonts w:ascii="Aptos" w:hAnsi="Aptos"/>
                <w:sz w:val="20"/>
              </w:rPr>
              <w:t>3.8</w:t>
            </w:r>
          </w:p>
        </w:tc>
        <w:tc>
          <w:tcPr>
            <w:tcW w:type="dxa" w:w="1247"/>
          </w:tcPr>
          <w:p>
            <w:r>
              <w:rPr>
                <w:rFonts w:ascii="Aptos" w:hAnsi="Aptos"/>
                <w:sz w:val="20"/>
              </w:rPr>
              <w:t>-0.6</w:t>
            </w:r>
          </w:p>
        </w:tc>
        <w:tc>
          <w:tcPr>
            <w:tcW w:type="dxa" w:w="1247"/>
          </w:tcPr>
          <w:p>
            <w:r>
              <w:rPr>
                <w:rFonts w:ascii="Aptos" w:hAnsi="Aptos"/>
                <w:sz w:val="20"/>
              </w:rPr>
              <w:t>-0.04</w:t>
            </w:r>
          </w:p>
        </w:tc>
        <w:tc>
          <w:tcPr>
            <w:tcW w:type="dxa" w:w="1247"/>
          </w:tcPr>
          <w:p>
            <w:r>
              <w:rPr>
                <w:rFonts w:ascii="Aptos" w:hAnsi="Aptos"/>
                <w:sz w:val="20"/>
              </w:rPr>
              <w:t>+0.00</w:t>
            </w:r>
          </w:p>
        </w:tc>
        <w:tc>
          <w:tcPr>
            <w:tcW w:type="dxa" w:w="1247"/>
          </w:tcPr>
          <w:p>
            <w:r>
              <w:rPr>
                <w:rFonts w:ascii="Aptos" w:hAnsi="Aptos"/>
                <w:sz w:val="20"/>
              </w:rPr>
              <w:t>-0.04</w:t>
            </w:r>
          </w:p>
        </w:tc>
      </w:tr>
      <w:tr>
        <w:tc>
          <w:tcPr>
            <w:tcW w:type="dxa" w:w="2268"/>
          </w:tcPr>
          <w:p>
            <w:r>
              <w:rPr>
                <w:rFonts w:ascii="Aptos" w:hAnsi="Aptos"/>
                <w:sz w:val="20"/>
              </w:rPr>
              <w:t>FAST RETAILING CO., LTD.</w:t>
            </w:r>
          </w:p>
        </w:tc>
        <w:tc>
          <w:tcPr>
            <w:tcW w:type="dxa" w:w="1247"/>
          </w:tcPr>
          <w:p>
            <w:r>
              <w:rPr>
                <w:rFonts w:ascii="Aptos" w:hAnsi="Aptos"/>
                <w:sz w:val="20"/>
              </w:rPr>
              <w:t>1.9</w:t>
            </w:r>
          </w:p>
        </w:tc>
        <w:tc>
          <w:tcPr>
            <w:tcW w:type="dxa" w:w="1417"/>
          </w:tcPr>
          <w:p>
            <w:r>
              <w:rPr>
                <w:rFonts w:ascii="Aptos" w:hAnsi="Aptos"/>
                <w:sz w:val="20"/>
              </w:rPr>
              <w:t>0.1</w:t>
            </w:r>
          </w:p>
        </w:tc>
        <w:tc>
          <w:tcPr>
            <w:tcW w:type="dxa" w:w="1247"/>
          </w:tcPr>
          <w:p>
            <w:r>
              <w:rPr>
                <w:rFonts w:ascii="Aptos" w:hAnsi="Aptos"/>
                <w:sz w:val="20"/>
              </w:rPr>
              <w:t>+1.8</w:t>
            </w:r>
          </w:p>
        </w:tc>
        <w:tc>
          <w:tcPr>
            <w:tcW w:type="dxa" w:w="1247"/>
          </w:tcPr>
          <w:p>
            <w:r>
              <w:rPr>
                <w:rFonts w:ascii="Aptos" w:hAnsi="Aptos"/>
                <w:sz w:val="20"/>
              </w:rPr>
              <w:t>-0.19</w:t>
            </w:r>
          </w:p>
        </w:tc>
        <w:tc>
          <w:tcPr>
            <w:tcW w:type="dxa" w:w="1247"/>
          </w:tcPr>
          <w:p>
            <w:r>
              <w:rPr>
                <w:rFonts w:ascii="Aptos" w:hAnsi="Aptos"/>
                <w:sz w:val="20"/>
              </w:rPr>
              <w:t>+0.00</w:t>
            </w:r>
          </w:p>
        </w:tc>
        <w:tc>
          <w:tcPr>
            <w:tcW w:type="dxa" w:w="1247"/>
          </w:tcPr>
          <w:p>
            <w:r>
              <w:rPr>
                <w:rFonts w:ascii="Aptos" w:hAnsi="Aptos"/>
                <w:sz w:val="20"/>
              </w:rPr>
              <w:t>-0.19</w:t>
            </w:r>
          </w:p>
        </w:tc>
      </w:tr>
      <w:tr>
        <w:tc>
          <w:tcPr>
            <w:tcW w:type="dxa" w:w="2268"/>
          </w:tcPr>
          <w:p>
            <w:r>
              <w:rPr>
                <w:rFonts w:ascii="Aptos" w:hAnsi="Aptos"/>
                <w:sz w:val="20"/>
              </w:rPr>
              <w:t>Howmet Aerospace Inc.</w:t>
            </w:r>
          </w:p>
        </w:tc>
        <w:tc>
          <w:tcPr>
            <w:tcW w:type="dxa" w:w="1247"/>
          </w:tcPr>
          <w:p>
            <w:r>
              <w:rPr>
                <w:rFonts w:ascii="Aptos" w:hAnsi="Aptos"/>
                <w:sz w:val="20"/>
              </w:rPr>
              <w:t>0.8</w:t>
            </w:r>
          </w:p>
        </w:tc>
        <w:tc>
          <w:tcPr>
            <w:tcW w:type="dxa" w:w="1417"/>
          </w:tcPr>
          <w:p>
            <w:r>
              <w:rPr>
                <w:rFonts w:ascii="Aptos" w:hAnsi="Aptos"/>
                <w:sz w:val="20"/>
              </w:rPr>
              <w:t>0.1</w:t>
            </w:r>
          </w:p>
        </w:tc>
        <w:tc>
          <w:tcPr>
            <w:tcW w:type="dxa" w:w="1247"/>
          </w:tcPr>
          <w:p>
            <w:r>
              <w:rPr>
                <w:rFonts w:ascii="Aptos" w:hAnsi="Aptos"/>
                <w:sz w:val="20"/>
              </w:rPr>
              <w:t>+0.7</w:t>
            </w:r>
          </w:p>
        </w:tc>
        <w:tc>
          <w:tcPr>
            <w:tcW w:type="dxa" w:w="1247"/>
          </w:tcPr>
          <w:p>
            <w:r>
              <w:rPr>
                <w:rFonts w:ascii="Aptos" w:hAnsi="Aptos"/>
                <w:sz w:val="20"/>
              </w:rPr>
              <w:t>-0.26</w:t>
            </w:r>
          </w:p>
        </w:tc>
        <w:tc>
          <w:tcPr>
            <w:tcW w:type="dxa" w:w="1247"/>
          </w:tcPr>
          <w:p>
            <w:r>
              <w:rPr>
                <w:rFonts w:ascii="Aptos" w:hAnsi="Aptos"/>
                <w:sz w:val="20"/>
              </w:rPr>
              <w:t>-0.00</w:t>
            </w:r>
          </w:p>
        </w:tc>
        <w:tc>
          <w:tcPr>
            <w:tcW w:type="dxa" w:w="1247"/>
          </w:tcPr>
          <w:p>
            <w:r>
              <w:rPr>
                <w:rFonts w:ascii="Aptos" w:hAnsi="Aptos"/>
                <w:sz w:val="20"/>
              </w:rPr>
              <w:t>-0.26</w:t>
            </w:r>
          </w:p>
        </w:tc>
      </w:tr>
      <w:tr>
        <w:tc>
          <w:tcPr>
            <w:tcW w:type="dxa" w:w="2268"/>
          </w:tcPr>
          <w:p>
            <w:r>
              <w:rPr>
                <w:rFonts w:ascii="Aptos" w:hAnsi="Aptos"/>
                <w:sz w:val="20"/>
              </w:rPr>
              <w:t>Fanuc Corporation</w:t>
            </w:r>
          </w:p>
        </w:tc>
        <w:tc>
          <w:tcPr>
            <w:tcW w:type="dxa" w:w="1247"/>
          </w:tcPr>
          <w:p>
            <w:r>
              <w:rPr>
                <w:rFonts w:ascii="Aptos" w:hAnsi="Aptos"/>
                <w:sz w:val="20"/>
              </w:rPr>
              <w:t>1.6</w:t>
            </w:r>
          </w:p>
        </w:tc>
        <w:tc>
          <w:tcPr>
            <w:tcW w:type="dxa" w:w="1417"/>
          </w:tcPr>
          <w:p>
            <w:r>
              <w:rPr>
                <w:rFonts w:ascii="Aptos" w:hAnsi="Aptos"/>
                <w:sz w:val="20"/>
              </w:rPr>
              <w:t>0.0</w:t>
            </w:r>
          </w:p>
        </w:tc>
        <w:tc>
          <w:tcPr>
            <w:tcW w:type="dxa" w:w="1247"/>
          </w:tcPr>
          <w:p>
            <w:r>
              <w:rPr>
                <w:rFonts w:ascii="Aptos" w:hAnsi="Aptos"/>
                <w:sz w:val="20"/>
              </w:rPr>
              <w:t>+1.6</w:t>
            </w:r>
          </w:p>
        </w:tc>
        <w:tc>
          <w:tcPr>
            <w:tcW w:type="dxa" w:w="1247"/>
          </w:tcPr>
          <w:p>
            <w:r>
              <w:rPr>
                <w:rFonts w:ascii="Aptos" w:hAnsi="Aptos"/>
                <w:sz w:val="20"/>
              </w:rPr>
              <w:t>-0.33</w:t>
            </w:r>
          </w:p>
        </w:tc>
        <w:tc>
          <w:tcPr>
            <w:tcW w:type="dxa" w:w="1247"/>
          </w:tcPr>
          <w:p>
            <w:r>
              <w:rPr>
                <w:rFonts w:ascii="Aptos" w:hAnsi="Aptos"/>
                <w:sz w:val="20"/>
              </w:rPr>
              <w:t>+0.00</w:t>
            </w:r>
          </w:p>
        </w:tc>
        <w:tc>
          <w:tcPr>
            <w:tcW w:type="dxa" w:w="1247"/>
          </w:tcPr>
          <w:p>
            <w:r>
              <w:rPr>
                <w:rFonts w:ascii="Aptos" w:hAnsi="Aptos"/>
                <w:sz w:val="20"/>
              </w:rPr>
              <w:t>-0.33</w:t>
            </w:r>
          </w:p>
        </w:tc>
      </w:tr>
      <w:tr>
        <w:tc>
          <w:tcPr>
            <w:tcW w:type="dxa" w:w="2268"/>
          </w:tcPr>
          <w:p>
            <w:r>
              <w:rPr>
                <w:rFonts w:ascii="Aptos" w:hAnsi="Aptos"/>
                <w:sz w:val="20"/>
              </w:rPr>
              <w:t>Cummins Inc.</w:t>
            </w:r>
          </w:p>
        </w:tc>
        <w:tc>
          <w:tcPr>
            <w:tcW w:type="dxa" w:w="1247"/>
          </w:tcPr>
          <w:p>
            <w:r>
              <w:rPr>
                <w:rFonts w:ascii="Aptos" w:hAnsi="Aptos"/>
                <w:sz w:val="20"/>
              </w:rPr>
              <w:t>3.0</w:t>
            </w:r>
          </w:p>
        </w:tc>
        <w:tc>
          <w:tcPr>
            <w:tcW w:type="dxa" w:w="1417"/>
          </w:tcPr>
          <w:p>
            <w:r>
              <w:rPr>
                <w:rFonts w:ascii="Aptos" w:hAnsi="Aptos"/>
                <w:sz w:val="20"/>
              </w:rPr>
              <w:t>0.1</w:t>
            </w:r>
          </w:p>
        </w:tc>
        <w:tc>
          <w:tcPr>
            <w:tcW w:type="dxa" w:w="1247"/>
          </w:tcPr>
          <w:p>
            <w:r>
              <w:rPr>
                <w:rFonts w:ascii="Aptos" w:hAnsi="Aptos"/>
                <w:sz w:val="20"/>
              </w:rPr>
              <w:t>+2.9</w:t>
            </w:r>
          </w:p>
        </w:tc>
        <w:tc>
          <w:tcPr>
            <w:tcW w:type="dxa" w:w="1247"/>
          </w:tcPr>
          <w:p>
            <w:r>
              <w:rPr>
                <w:rFonts w:ascii="Aptos" w:hAnsi="Aptos"/>
                <w:sz w:val="20"/>
              </w:rPr>
              <w:t>-0.41</w:t>
            </w:r>
          </w:p>
        </w:tc>
        <w:tc>
          <w:tcPr>
            <w:tcW w:type="dxa" w:w="1247"/>
          </w:tcPr>
          <w:p>
            <w:r>
              <w:rPr>
                <w:rFonts w:ascii="Aptos" w:hAnsi="Aptos"/>
                <w:sz w:val="20"/>
              </w:rPr>
              <w:t>+0.00</w:t>
            </w:r>
          </w:p>
        </w:tc>
        <w:tc>
          <w:tcPr>
            <w:tcW w:type="dxa" w:w="1247"/>
          </w:tcPr>
          <w:p>
            <w:r>
              <w:rPr>
                <w:rFonts w:ascii="Aptos" w:hAnsi="Aptos"/>
                <w:sz w:val="20"/>
              </w:rPr>
              <w:t>-0.41</w:t>
            </w:r>
          </w:p>
        </w:tc>
      </w:tr>
      <w:tr>
        <w:tc>
          <w:tcPr>
            <w:tcW w:type="dxa" w:w="2268"/>
          </w:tcPr>
          <w:p>
            <w:r>
              <w:rPr>
                <w:rFonts w:ascii="Aptos" w:hAnsi="Aptos"/>
                <w:sz w:val="20"/>
              </w:rPr>
              <w:t>Applied Materials, Inc.</w:t>
            </w:r>
          </w:p>
        </w:tc>
        <w:tc>
          <w:tcPr>
            <w:tcW w:type="dxa" w:w="1247"/>
          </w:tcPr>
          <w:p>
            <w:r>
              <w:rPr>
                <w:rFonts w:ascii="Aptos" w:hAnsi="Aptos"/>
                <w:sz w:val="20"/>
              </w:rPr>
              <w:t>4.0</w:t>
            </w:r>
          </w:p>
        </w:tc>
        <w:tc>
          <w:tcPr>
            <w:tcW w:type="dxa" w:w="1417"/>
          </w:tcPr>
          <w:p>
            <w:r>
              <w:rPr>
                <w:rFonts w:ascii="Aptos" w:hAnsi="Aptos"/>
                <w:sz w:val="20"/>
              </w:rPr>
              <w:t>0.4</w:t>
            </w:r>
          </w:p>
        </w:tc>
        <w:tc>
          <w:tcPr>
            <w:tcW w:type="dxa" w:w="1247"/>
          </w:tcPr>
          <w:p>
            <w:r>
              <w:rPr>
                <w:rFonts w:ascii="Aptos" w:hAnsi="Aptos"/>
                <w:sz w:val="20"/>
              </w:rPr>
              <w:t>+3.5</w:t>
            </w:r>
          </w:p>
        </w:tc>
        <w:tc>
          <w:tcPr>
            <w:tcW w:type="dxa" w:w="1247"/>
          </w:tcPr>
          <w:p>
            <w:r>
              <w:rPr>
                <w:rFonts w:ascii="Aptos" w:hAnsi="Aptos"/>
                <w:sz w:val="20"/>
              </w:rPr>
              <w:t>-0.43</w:t>
            </w:r>
          </w:p>
        </w:tc>
        <w:tc>
          <w:tcPr>
            <w:tcW w:type="dxa" w:w="1247"/>
          </w:tcPr>
          <w:p>
            <w:r>
              <w:rPr>
                <w:rFonts w:ascii="Aptos" w:hAnsi="Aptos"/>
                <w:sz w:val="20"/>
              </w:rPr>
              <w:t>+0.00</w:t>
            </w:r>
          </w:p>
        </w:tc>
        <w:tc>
          <w:tcPr>
            <w:tcW w:type="dxa" w:w="1247"/>
          </w:tcPr>
          <w:p>
            <w:r>
              <w:rPr>
                <w:rFonts w:ascii="Aptos" w:hAnsi="Aptos"/>
                <w:sz w:val="20"/>
              </w:rPr>
              <w:t>-0.43</w:t>
            </w:r>
          </w:p>
        </w:tc>
      </w:tr>
    </w:tbl>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